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六、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交通、运输、邮电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A56C66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QHFQIAACo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" strokeweight="2.25pt"/>
            </w:pict>
          </mc:Fallback>
        </mc:AlternateContent>
      </w:r>
    </w:p>
    <w:p w:rsidR="00291101" w:rsidRDefault="0029110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ind w:left="570" w:right="41"/>
        <w:rPr>
          <w:rFonts w:hint="eastAsia"/>
          <w:sz w:val="24"/>
        </w:rPr>
      </w:pPr>
      <w:r>
        <w:rPr>
          <w:rFonts w:hint="eastAsia"/>
          <w:sz w:val="24"/>
        </w:rPr>
        <w:t>本篇资料反映云浮市交通运输、邮电通信业的基本状况。</w:t>
      </w:r>
    </w:p>
    <w:p w:rsidR="00291101" w:rsidRDefault="00291101">
      <w:pPr>
        <w:ind w:left="570" w:right="41"/>
        <w:rPr>
          <w:rFonts w:hint="eastAsia"/>
          <w:sz w:val="24"/>
        </w:rPr>
      </w:pPr>
      <w:r>
        <w:rPr>
          <w:rFonts w:hint="eastAsia"/>
          <w:sz w:val="24"/>
        </w:rPr>
        <w:t>交通运输业资料主要包括：公路里程、港口仓库面积、港口吞吐量、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>运输设备拥有量、水陆运输完成的货物运输量和旅客周转量等主要指标。</w:t>
      </w:r>
    </w:p>
    <w:p w:rsidR="00291101" w:rsidRDefault="00291101">
      <w:pPr>
        <w:ind w:right="41" w:firstLine="570"/>
        <w:rPr>
          <w:rFonts w:hint="eastAsia"/>
          <w:sz w:val="24"/>
        </w:rPr>
      </w:pPr>
      <w:r>
        <w:rPr>
          <w:rFonts w:hint="eastAsia"/>
          <w:sz w:val="24"/>
        </w:rPr>
        <w:t>邮电通信业资料主要包括：邮电业务量、邮电通信工具。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C66" w:rsidRDefault="00A56C66" w:rsidP="00A56C66">
      <w:r>
        <w:separator/>
      </w:r>
    </w:p>
  </w:endnote>
  <w:endnote w:type="continuationSeparator" w:id="0">
    <w:p w:rsidR="00A56C66" w:rsidRDefault="00A56C66" w:rsidP="00A56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C66" w:rsidRDefault="00A56C66" w:rsidP="00A56C66">
      <w:r>
        <w:separator/>
      </w:r>
    </w:p>
  </w:footnote>
  <w:footnote w:type="continuationSeparator" w:id="0">
    <w:p w:rsidR="00A56C66" w:rsidRDefault="00A56C66" w:rsidP="00A56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9A5A23"/>
    <w:rsid w:val="00A56C66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56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56C66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56C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56C6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A56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A56C66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A56C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A56C6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2015-07-04T12:25:00Z</dcterms:created>
  <dcterms:modified xsi:type="dcterms:W3CDTF">2015-07-04T12:25:00Z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