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87" w:rsidRPr="0015004A" w:rsidRDefault="00FB4D87" w:rsidP="00FB4D87">
      <w:pPr>
        <w:adjustRightInd w:val="0"/>
        <w:snapToGrid w:val="0"/>
        <w:spacing w:beforeLines="20" w:before="65" w:afterLines="20" w:after="65" w:line="288" w:lineRule="auto"/>
        <w:ind w:left="900" w:firstLineChars="0" w:firstLine="0"/>
        <w:jc w:val="center"/>
        <w:textAlignment w:val="baseline"/>
        <w:rPr>
          <w:b/>
          <w:sz w:val="28"/>
          <w:szCs w:val="28"/>
          <w:lang w:val="zh-CN"/>
        </w:rPr>
      </w:pPr>
      <w:r w:rsidRPr="0015004A">
        <w:rPr>
          <w:rFonts w:hint="eastAsia"/>
          <w:b/>
          <w:sz w:val="28"/>
          <w:szCs w:val="28"/>
          <w:lang w:val="zh-CN"/>
        </w:rPr>
        <w:t>附件：《云浮市城区城镇国有建设用地标定地价评估项目》听证会反馈意见采纳情况汇总表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2693"/>
        <w:gridCol w:w="6098"/>
        <w:gridCol w:w="4567"/>
      </w:tblGrid>
      <w:tr w:rsidR="0015004A" w:rsidRPr="0015004A" w:rsidTr="0015004A">
        <w:trPr>
          <w:trHeight w:val="397"/>
          <w:tblHeader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b/>
              </w:rPr>
            </w:pPr>
            <w:r w:rsidRPr="0015004A">
              <w:rPr>
                <w:b/>
              </w:rPr>
              <w:t>序号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b/>
              </w:rPr>
            </w:pPr>
            <w:r w:rsidRPr="0015004A">
              <w:rPr>
                <w:b/>
              </w:rPr>
              <w:t>单位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b/>
              </w:rPr>
            </w:pPr>
            <w:r w:rsidRPr="0015004A">
              <w:rPr>
                <w:b/>
              </w:rPr>
              <w:t>意见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b/>
              </w:rPr>
            </w:pPr>
            <w:r w:rsidRPr="0015004A">
              <w:rPr>
                <w:b/>
              </w:rPr>
              <w:t>回答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云浮市住房和城乡建设局</w:t>
            </w:r>
          </w:p>
        </w:tc>
        <w:tc>
          <w:tcPr>
            <w:tcW w:w="2151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1</w:t>
            </w:r>
            <w:r w:rsidRPr="0015004A">
              <w:t>、</w:t>
            </w:r>
            <w:r w:rsidR="00FB4D87" w:rsidRPr="0015004A">
              <w:t>关于标定地价的意义：对于房地产行业来说，标定地价有利于土地价格的精细化管理，为房地产价格提供参考，有利于房地产管理调控的工作；</w:t>
            </w:r>
          </w:p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2</w:t>
            </w:r>
            <w:r w:rsidRPr="0015004A">
              <w:t>、</w:t>
            </w:r>
            <w:r w:rsidR="00FB4D87" w:rsidRPr="0015004A">
              <w:t>报告中需要陈述宗地的评估方法的采用情况，反映市场价格的趋势；</w:t>
            </w:r>
          </w:p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3</w:t>
            </w:r>
            <w:r w:rsidRPr="0015004A">
              <w:t>、</w:t>
            </w:r>
            <w:r w:rsidR="00FB4D87" w:rsidRPr="0015004A">
              <w:t>英伦豪城、幸福里等位置相邻，但价格差异较大，建议增加进行价格差异的说明。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rPr>
                <w:b/>
              </w:rPr>
              <w:t>回复：</w:t>
            </w:r>
            <w:r w:rsidRPr="0015004A">
              <w:t>2</w:t>
            </w:r>
            <w:r w:rsidRPr="0015004A">
              <w:t>、我们评估过程中用到了市场比较法、剩余法、收益法等，会在后续成果报告详细介绍中</w:t>
            </w:r>
            <w:proofErr w:type="gramStart"/>
            <w:r w:rsidRPr="0015004A">
              <w:t>中</w:t>
            </w:r>
            <w:proofErr w:type="gramEnd"/>
            <w:r w:rsidRPr="0015004A">
              <w:t>补充说明具体评估方法的使用。</w:t>
            </w:r>
          </w:p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3</w:t>
            </w:r>
            <w:r w:rsidRPr="0015004A">
              <w:t>、标准宗地的设定内涵是根据自身开发情况下，因此会存在差异，会进一步详细说明。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2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云浮市税务局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pStyle w:val="a4"/>
              <w:adjustRightInd w:val="0"/>
              <w:snapToGrid w:val="0"/>
              <w:spacing w:beforeLines="0" w:before="0" w:afterLines="0" w:after="0" w:line="240" w:lineRule="auto"/>
              <w:ind w:firstLine="480"/>
              <w:rPr>
                <w:rFonts w:eastAsia="仿宋_GB2312"/>
              </w:rPr>
            </w:pPr>
            <w:r w:rsidRPr="0015004A">
              <w:rPr>
                <w:rFonts w:eastAsia="仿宋_GB2312"/>
              </w:rPr>
              <w:t>要求多开展标定地价类似的项目，成果应用发到各部门</w:t>
            </w:r>
            <w:r w:rsidRPr="0015004A">
              <w:rPr>
                <w:rFonts w:eastAsia="仿宋_GB2312"/>
              </w:rPr>
              <w:t xml:space="preserve"> </w:t>
            </w:r>
          </w:p>
        </w:tc>
        <w:tc>
          <w:tcPr>
            <w:tcW w:w="1611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rPr>
                <w:b/>
              </w:rPr>
              <w:t>云浮市</w:t>
            </w:r>
            <w:proofErr w:type="gramStart"/>
            <w:r w:rsidRPr="0015004A">
              <w:rPr>
                <w:b/>
              </w:rPr>
              <w:t>自然资源局龙曙光</w:t>
            </w:r>
            <w:proofErr w:type="gramEnd"/>
            <w:r w:rsidRPr="0015004A">
              <w:rPr>
                <w:b/>
              </w:rPr>
              <w:t>回复</w:t>
            </w:r>
            <w:r w:rsidR="00FB4D87" w:rsidRPr="0015004A">
              <w:t>：项目成果后会进行公示，也会通过</w:t>
            </w:r>
            <w:r w:rsidR="00FB4D87" w:rsidRPr="0015004A">
              <w:t>OA</w:t>
            </w:r>
            <w:r w:rsidR="00FB4D87" w:rsidRPr="0015004A">
              <w:t>系统发给各部门。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3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云浮市商务局</w:t>
            </w:r>
          </w:p>
        </w:tc>
        <w:tc>
          <w:tcPr>
            <w:tcW w:w="2151" w:type="pct"/>
            <w:vAlign w:val="center"/>
          </w:tcPr>
          <w:p w:rsidR="00FB4D87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4</w:t>
            </w:r>
          </w:p>
        </w:tc>
        <w:tc>
          <w:tcPr>
            <w:tcW w:w="950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云浮发展和</w:t>
            </w:r>
            <w:proofErr w:type="gramStart"/>
            <w:r w:rsidRPr="0015004A">
              <w:t>改革局</w:t>
            </w:r>
            <w:proofErr w:type="gramEnd"/>
          </w:p>
        </w:tc>
        <w:tc>
          <w:tcPr>
            <w:tcW w:w="2151" w:type="pct"/>
            <w:vAlign w:val="center"/>
          </w:tcPr>
          <w:p w:rsidR="0015004A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</w:tcPr>
          <w:p w:rsidR="0015004A" w:rsidRPr="0015004A" w:rsidRDefault="0015004A" w:rsidP="0015004A">
            <w:pPr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5</w:t>
            </w:r>
          </w:p>
        </w:tc>
        <w:tc>
          <w:tcPr>
            <w:tcW w:w="950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云浮市市场监督管理局</w:t>
            </w:r>
          </w:p>
        </w:tc>
        <w:tc>
          <w:tcPr>
            <w:tcW w:w="2151" w:type="pct"/>
            <w:vAlign w:val="center"/>
          </w:tcPr>
          <w:p w:rsidR="0015004A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</w:tcPr>
          <w:p w:rsidR="0015004A" w:rsidRPr="0015004A" w:rsidRDefault="0015004A" w:rsidP="0015004A">
            <w:pPr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6</w:t>
            </w:r>
          </w:p>
        </w:tc>
        <w:tc>
          <w:tcPr>
            <w:tcW w:w="950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云浮市财政局</w:t>
            </w:r>
          </w:p>
        </w:tc>
        <w:tc>
          <w:tcPr>
            <w:tcW w:w="2151" w:type="pct"/>
            <w:vAlign w:val="center"/>
          </w:tcPr>
          <w:p w:rsidR="0015004A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</w:tcPr>
          <w:p w:rsidR="0015004A" w:rsidRPr="0015004A" w:rsidRDefault="0015004A" w:rsidP="0015004A">
            <w:pPr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7</w:t>
            </w:r>
          </w:p>
        </w:tc>
        <w:tc>
          <w:tcPr>
            <w:tcW w:w="950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云城街道办</w:t>
            </w:r>
          </w:p>
        </w:tc>
        <w:tc>
          <w:tcPr>
            <w:tcW w:w="2151" w:type="pct"/>
            <w:vAlign w:val="center"/>
          </w:tcPr>
          <w:p w:rsidR="0015004A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</w:tcPr>
          <w:p w:rsidR="0015004A" w:rsidRPr="0015004A" w:rsidRDefault="0015004A" w:rsidP="0015004A">
            <w:pPr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8</w:t>
            </w:r>
          </w:p>
        </w:tc>
        <w:tc>
          <w:tcPr>
            <w:tcW w:w="950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高峰街道办</w:t>
            </w:r>
          </w:p>
        </w:tc>
        <w:tc>
          <w:tcPr>
            <w:tcW w:w="2151" w:type="pct"/>
            <w:vAlign w:val="center"/>
          </w:tcPr>
          <w:p w:rsidR="0015004A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</w:tcPr>
          <w:p w:rsidR="0015004A" w:rsidRPr="0015004A" w:rsidRDefault="0015004A" w:rsidP="0015004A">
            <w:pPr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9</w:t>
            </w:r>
          </w:p>
        </w:tc>
        <w:tc>
          <w:tcPr>
            <w:tcW w:w="950" w:type="pct"/>
            <w:vAlign w:val="center"/>
          </w:tcPr>
          <w:p w:rsidR="0015004A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河口街道办</w:t>
            </w:r>
          </w:p>
        </w:tc>
        <w:tc>
          <w:tcPr>
            <w:tcW w:w="2151" w:type="pct"/>
            <w:vAlign w:val="center"/>
          </w:tcPr>
          <w:p w:rsidR="0015004A" w:rsidRPr="0015004A" w:rsidRDefault="0015004A" w:rsidP="0015004A">
            <w:pPr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</w:tcPr>
          <w:p w:rsidR="0015004A" w:rsidRPr="0015004A" w:rsidRDefault="0015004A" w:rsidP="0015004A">
            <w:pPr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10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广东翔顺房地产公司</w:t>
            </w:r>
          </w:p>
        </w:tc>
        <w:tc>
          <w:tcPr>
            <w:tcW w:w="2151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1</w:t>
            </w:r>
            <w:r w:rsidRPr="0015004A">
              <w:t>、</w:t>
            </w:r>
            <w:r w:rsidR="00FB4D87" w:rsidRPr="0015004A">
              <w:t>标定地价对房地产企业非常有用，对房地产企业售价定价有作用。</w:t>
            </w:r>
          </w:p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2</w:t>
            </w:r>
            <w:r w:rsidRPr="0015004A">
              <w:t>、</w:t>
            </w:r>
            <w:r w:rsidR="00FB4D87" w:rsidRPr="0015004A">
              <w:t>土地出让合同并没有明确地下空间利用权利，如要利用是否需要补交地价款。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rPr>
                <w:b/>
              </w:rPr>
              <w:t>回复：</w:t>
            </w:r>
            <w:r w:rsidRPr="0015004A">
              <w:t>2</w:t>
            </w:r>
            <w:r w:rsidRPr="0015004A">
              <w:t>、关于地下空间，广州</w:t>
            </w:r>
            <w:r w:rsidR="003F5BB2">
              <w:rPr>
                <w:rFonts w:hint="eastAsia"/>
              </w:rPr>
              <w:t>、佛山等地方均</w:t>
            </w:r>
            <w:r w:rsidRPr="0015004A">
              <w:t>不考虑地下空间价值，</w:t>
            </w:r>
            <w:r w:rsidR="003F5BB2">
              <w:rPr>
                <w:rFonts w:hint="eastAsia"/>
              </w:rPr>
              <w:t>结合规程和云浮实际情况，</w:t>
            </w:r>
            <w:r w:rsidRPr="0015004A">
              <w:t>本次云浮标定地价也不考虑地下空间价值。</w:t>
            </w:r>
            <w:bookmarkStart w:id="0" w:name="_GoBack"/>
            <w:bookmarkEnd w:id="0"/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lastRenderedPageBreak/>
              <w:t>11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云浮碧</w:t>
            </w:r>
            <w:proofErr w:type="gramStart"/>
            <w:r w:rsidRPr="0015004A">
              <w:t>桂园</w:t>
            </w:r>
            <w:proofErr w:type="gramEnd"/>
            <w:r w:rsidRPr="0015004A">
              <w:t>房地产开发有限公司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pStyle w:val="a4"/>
              <w:adjustRightInd w:val="0"/>
              <w:snapToGrid w:val="0"/>
              <w:spacing w:beforeLines="0" w:before="0" w:afterLines="0" w:after="0" w:line="240" w:lineRule="auto"/>
              <w:ind w:firstLine="480"/>
              <w:rPr>
                <w:rFonts w:eastAsia="仿宋_GB2312"/>
              </w:rPr>
            </w:pPr>
            <w:r w:rsidRPr="0015004A">
              <w:rPr>
                <w:rFonts w:eastAsia="仿宋_GB2312"/>
              </w:rPr>
              <w:t>标定地价对房地产预售备案价格有什么指导意义？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rPr>
                <w:b/>
              </w:rPr>
              <w:t>云浮市</w:t>
            </w:r>
            <w:proofErr w:type="gramStart"/>
            <w:r w:rsidRPr="0015004A">
              <w:rPr>
                <w:b/>
              </w:rPr>
              <w:t>自然资源局龙曙光</w:t>
            </w:r>
            <w:proofErr w:type="gramEnd"/>
            <w:r w:rsidRPr="0015004A">
              <w:rPr>
                <w:b/>
              </w:rPr>
              <w:t>回复</w:t>
            </w:r>
            <w:r w:rsidRPr="0015004A">
              <w:t>：现在地价房价联动机制对房屋预售有影响。</w:t>
            </w:r>
          </w:p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住建局代表意见回复：我们在房地产调控中有根据项目楼盘的土地情况、规划情况进行分类，与标定地价思路一致。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12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</w:t>
            </w:r>
            <w:proofErr w:type="gramStart"/>
            <w:r w:rsidRPr="0015004A">
              <w:t>荔园房</w:t>
            </w:r>
            <w:proofErr w:type="gramEnd"/>
            <w:r w:rsidRPr="0015004A">
              <w:t>地产开发有限公司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对于标定地价，是否有考虑开发的难度和成本价值、开发利润率低等问题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rPr>
                <w:b/>
              </w:rPr>
              <w:t>回复：</w:t>
            </w:r>
            <w:r w:rsidRPr="0015004A">
              <w:t>针对开发难度，我们针对标准宗地的设定是根据自身情况进行设定，包括土地开发成本、利润、建安成本等差异，这些问题我们在测算的过程中都有根据项目的具体情况来进行考虑。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13</w:t>
            </w:r>
          </w:p>
        </w:tc>
        <w:tc>
          <w:tcPr>
            <w:tcW w:w="950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云浮市大地发展公司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14</w:t>
            </w:r>
          </w:p>
        </w:tc>
        <w:tc>
          <w:tcPr>
            <w:tcW w:w="950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云浮科</w:t>
            </w:r>
            <w:proofErr w:type="gramStart"/>
            <w:r w:rsidRPr="0015004A">
              <w:t>信土地</w:t>
            </w:r>
            <w:proofErr w:type="gramEnd"/>
            <w:r w:rsidRPr="0015004A">
              <w:t>房地产资产评估有限公司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完善标定地价项目使评估公司更好利用该成果，希望政府能够公布这些成果。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15</w:t>
            </w:r>
          </w:p>
        </w:tc>
        <w:tc>
          <w:tcPr>
            <w:tcW w:w="950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广东宇</w:t>
            </w:r>
            <w:proofErr w:type="gramStart"/>
            <w:r w:rsidRPr="0015004A">
              <w:t>恒土地</w:t>
            </w:r>
            <w:proofErr w:type="gramEnd"/>
            <w:r w:rsidRPr="0015004A">
              <w:t>房地产与资产评估有限公司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16</w:t>
            </w:r>
          </w:p>
        </w:tc>
        <w:tc>
          <w:tcPr>
            <w:tcW w:w="950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广东</w:t>
            </w:r>
            <w:proofErr w:type="gramStart"/>
            <w:r w:rsidRPr="0015004A">
              <w:t>广量资产</w:t>
            </w:r>
            <w:proofErr w:type="gramEnd"/>
            <w:r w:rsidRPr="0015004A">
              <w:t>土地房地产评估与规划有限公司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17</w:t>
            </w:r>
          </w:p>
        </w:tc>
        <w:tc>
          <w:tcPr>
            <w:tcW w:w="950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云浮市永信中土</w:t>
            </w:r>
            <w:proofErr w:type="gramStart"/>
            <w:r w:rsidRPr="0015004A">
              <w:t>源土地</w:t>
            </w:r>
            <w:proofErr w:type="gramEnd"/>
            <w:r w:rsidRPr="0015004A">
              <w:t>与房地产评估有限公司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  <w:tr w:rsidR="0015004A" w:rsidRPr="0015004A" w:rsidTr="0015004A">
        <w:trPr>
          <w:trHeight w:val="397"/>
          <w:jc w:val="center"/>
        </w:trPr>
        <w:tc>
          <w:tcPr>
            <w:tcW w:w="288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18</w:t>
            </w:r>
          </w:p>
        </w:tc>
        <w:tc>
          <w:tcPr>
            <w:tcW w:w="950" w:type="pct"/>
            <w:vAlign w:val="center"/>
          </w:tcPr>
          <w:p w:rsidR="00FB4D87" w:rsidRPr="0015004A" w:rsidRDefault="0015004A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</w:pPr>
            <w:r w:rsidRPr="0015004A">
              <w:t>深圳市国</w:t>
            </w:r>
            <w:proofErr w:type="gramStart"/>
            <w:r w:rsidRPr="0015004A">
              <w:t>房土地</w:t>
            </w:r>
            <w:proofErr w:type="gramEnd"/>
            <w:r w:rsidRPr="0015004A">
              <w:t>房地产资产评估咨询有限公司</w:t>
            </w:r>
          </w:p>
        </w:tc>
        <w:tc>
          <w:tcPr>
            <w:tcW w:w="215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</w:pPr>
            <w:r w:rsidRPr="0015004A">
              <w:t>无意见</w:t>
            </w:r>
          </w:p>
        </w:tc>
        <w:tc>
          <w:tcPr>
            <w:tcW w:w="1611" w:type="pct"/>
            <w:vAlign w:val="center"/>
          </w:tcPr>
          <w:p w:rsidR="00FB4D87" w:rsidRPr="0015004A" w:rsidRDefault="00FB4D87" w:rsidP="0015004A">
            <w:pPr>
              <w:adjustRightInd w:val="0"/>
              <w:snapToGrid w:val="0"/>
              <w:spacing w:beforeLines="0" w:afterLines="0" w:line="240" w:lineRule="auto"/>
              <w:ind w:firstLineChars="0" w:firstLine="0"/>
            </w:pPr>
            <w:r w:rsidRPr="0015004A">
              <w:t>——</w:t>
            </w:r>
          </w:p>
        </w:tc>
      </w:tr>
    </w:tbl>
    <w:p w:rsidR="00A81C8A" w:rsidRDefault="00A81C8A" w:rsidP="0015004A">
      <w:pPr>
        <w:spacing w:before="97" w:after="97"/>
        <w:ind w:firstLineChars="0" w:firstLine="0"/>
      </w:pPr>
    </w:p>
    <w:sectPr w:rsidR="00A81C8A" w:rsidSect="00150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702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2A" w:rsidRDefault="00EE1A2A" w:rsidP="003F5BB2">
      <w:pPr>
        <w:spacing w:before="72" w:after="72" w:line="240" w:lineRule="auto"/>
      </w:pPr>
      <w:r>
        <w:separator/>
      </w:r>
    </w:p>
  </w:endnote>
  <w:endnote w:type="continuationSeparator" w:id="0">
    <w:p w:rsidR="00EE1A2A" w:rsidRDefault="00EE1A2A" w:rsidP="003F5BB2">
      <w:pPr>
        <w:spacing w:before="72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2" w:rsidRDefault="003F5BB2" w:rsidP="003F5BB2">
    <w:pPr>
      <w:pStyle w:val="a6"/>
      <w:spacing w:before="72" w:after="7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2" w:rsidRDefault="003F5BB2" w:rsidP="003F5BB2">
    <w:pPr>
      <w:pStyle w:val="a6"/>
      <w:spacing w:before="72" w:after="7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2" w:rsidRDefault="003F5BB2" w:rsidP="003F5BB2">
    <w:pPr>
      <w:pStyle w:val="a6"/>
      <w:spacing w:before="72" w:after="7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2A" w:rsidRDefault="00EE1A2A" w:rsidP="003F5BB2">
      <w:pPr>
        <w:spacing w:before="72" w:after="72" w:line="240" w:lineRule="auto"/>
      </w:pPr>
      <w:r>
        <w:separator/>
      </w:r>
    </w:p>
  </w:footnote>
  <w:footnote w:type="continuationSeparator" w:id="0">
    <w:p w:rsidR="00EE1A2A" w:rsidRDefault="00EE1A2A" w:rsidP="003F5BB2">
      <w:pPr>
        <w:spacing w:before="72" w:after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2" w:rsidRDefault="003F5BB2" w:rsidP="003F5BB2">
    <w:pPr>
      <w:pStyle w:val="a5"/>
      <w:spacing w:before="72" w:after="7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2" w:rsidRDefault="003F5BB2" w:rsidP="003F5BB2">
    <w:pPr>
      <w:pStyle w:val="a5"/>
      <w:spacing w:before="72" w:after="7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B2" w:rsidRDefault="003F5BB2" w:rsidP="003F5BB2">
    <w:pPr>
      <w:pStyle w:val="a5"/>
      <w:spacing w:before="72" w:after="7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E35"/>
    <w:multiLevelType w:val="multilevel"/>
    <w:tmpl w:val="4F0CE44E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D615B"/>
    <w:multiLevelType w:val="multilevel"/>
    <w:tmpl w:val="4C9D615B"/>
    <w:lvl w:ilvl="0">
      <w:start w:val="1"/>
      <w:numFmt w:val="decimal"/>
      <w:lvlText w:val="表2-%1"/>
      <w:lvlJc w:val="left"/>
      <w:pPr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87"/>
    <w:rsid w:val="0015004A"/>
    <w:rsid w:val="003F5BB2"/>
    <w:rsid w:val="00A81C8A"/>
    <w:rsid w:val="00EE1A2A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87"/>
    <w:pPr>
      <w:widowControl w:val="0"/>
      <w:spacing w:beforeLines="30" w:afterLines="30" w:line="300" w:lineRule="auto"/>
      <w:ind w:firstLineChars="200" w:firstLine="480"/>
      <w:jc w:val="both"/>
    </w:pPr>
    <w:rPr>
      <w:rFonts w:ascii="Times New Roman" w:eastAsia="仿宋_GB2312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4D8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99"/>
    <w:unhideWhenUsed/>
    <w:qFormat/>
    <w:rsid w:val="00FB4D87"/>
    <w:pPr>
      <w:spacing w:before="30" w:after="30"/>
      <w:ind w:firstLine="420"/>
    </w:pPr>
    <w:rPr>
      <w:rFonts w:eastAsia="仿宋"/>
    </w:rPr>
  </w:style>
  <w:style w:type="character" w:customStyle="1" w:styleId="Char">
    <w:name w:val="列出段落 Char"/>
    <w:link w:val="a4"/>
    <w:uiPriority w:val="99"/>
    <w:qFormat/>
    <w:rsid w:val="00FB4D87"/>
    <w:rPr>
      <w:rFonts w:ascii="Times New Roman" w:eastAsia="仿宋" w:hAnsi="Times New Roman" w:cs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F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5BB2"/>
    <w:rPr>
      <w:rFonts w:ascii="Times New Roman" w:eastAsia="仿宋_GB2312" w:hAnsi="Times New Roman" w:cs="Times New Roman"/>
      <w:kern w:val="28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5B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5BB2"/>
    <w:rPr>
      <w:rFonts w:ascii="Times New Roman" w:eastAsia="仿宋_GB2312" w:hAnsi="Times New Roman" w:cs="Times New Roman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87"/>
    <w:pPr>
      <w:widowControl w:val="0"/>
      <w:spacing w:beforeLines="30" w:afterLines="30" w:line="300" w:lineRule="auto"/>
      <w:ind w:firstLineChars="200" w:firstLine="480"/>
      <w:jc w:val="both"/>
    </w:pPr>
    <w:rPr>
      <w:rFonts w:ascii="Times New Roman" w:eastAsia="仿宋_GB2312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4D8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99"/>
    <w:unhideWhenUsed/>
    <w:qFormat/>
    <w:rsid w:val="00FB4D87"/>
    <w:pPr>
      <w:spacing w:before="30" w:after="30"/>
      <w:ind w:firstLine="420"/>
    </w:pPr>
    <w:rPr>
      <w:rFonts w:eastAsia="仿宋"/>
    </w:rPr>
  </w:style>
  <w:style w:type="character" w:customStyle="1" w:styleId="Char">
    <w:name w:val="列出段落 Char"/>
    <w:link w:val="a4"/>
    <w:uiPriority w:val="99"/>
    <w:qFormat/>
    <w:rsid w:val="00FB4D87"/>
    <w:rPr>
      <w:rFonts w:ascii="Times New Roman" w:eastAsia="仿宋" w:hAnsi="Times New Roman" w:cs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F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F5BB2"/>
    <w:rPr>
      <w:rFonts w:ascii="Times New Roman" w:eastAsia="仿宋_GB2312" w:hAnsi="Times New Roman" w:cs="Times New Roman"/>
      <w:kern w:val="28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5B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F5BB2"/>
    <w:rPr>
      <w:rFonts w:ascii="Times New Roman" w:eastAsia="仿宋_GB2312" w:hAnsi="Times New Roman"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yxm</cp:lastModifiedBy>
  <cp:revision>3</cp:revision>
  <dcterms:created xsi:type="dcterms:W3CDTF">2019-09-02T06:53:00Z</dcterms:created>
  <dcterms:modified xsi:type="dcterms:W3CDTF">2019-09-02T08:55:00Z</dcterms:modified>
</cp:coreProperties>
</file>