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color w:val="000000" w:themeColor="text1"/>
          <w:sz w:val="32"/>
          <w:szCs w:val="32"/>
          <w14:textFill>
            <w14:solidFill>
              <w14:schemeClr w14:val="tx1"/>
            </w14:solidFill>
          </w14:textFill>
        </w:rPr>
      </w:pPr>
      <w:r>
        <w:rPr>
          <w:rFonts w:hint="eastAsia"/>
          <w:color w:val="000000" w:themeColor="text1"/>
          <w:sz w:val="32"/>
          <w:szCs w:val="32"/>
          <w14:textFill>
            <w14:solidFill>
              <w14:schemeClr w14:val="tx1"/>
            </w14:solidFill>
          </w14:textFill>
        </w:rPr>
        <w:t>附件4：</w:t>
      </w:r>
    </w:p>
    <w:p>
      <w:pPr>
        <w:jc w:val="center"/>
        <w:rPr>
          <w:b/>
          <w:color w:val="000000" w:themeColor="text1"/>
          <w:sz w:val="36"/>
          <w:szCs w:val="36"/>
          <w14:textFill>
            <w14:solidFill>
              <w14:schemeClr w14:val="tx1"/>
            </w14:solidFill>
          </w14:textFill>
        </w:rPr>
      </w:pPr>
      <w:r>
        <w:rPr>
          <w:rFonts w:hint="eastAsia"/>
          <w:b/>
          <w:color w:val="000000" w:themeColor="text1"/>
          <w:sz w:val="36"/>
          <w:szCs w:val="36"/>
          <w14:textFill>
            <w14:solidFill>
              <w14:schemeClr w14:val="tx1"/>
            </w14:solidFill>
          </w14:textFill>
        </w:rPr>
        <w:t>创新型企业试点、评价（认定）工作的情况介绍</w:t>
      </w:r>
    </w:p>
    <w:p>
      <w:pPr>
        <w:ind w:firstLine="560" w:firstLineChars="200"/>
        <w:rPr>
          <w:rFonts w:ascii="仿宋" w:hAnsi="仿宋" w:eastAsia="仿宋"/>
          <w:color w:val="000000" w:themeColor="text1"/>
          <w:sz w:val="28"/>
          <w:szCs w:val="28"/>
          <w14:textFill>
            <w14:solidFill>
              <w14:schemeClr w14:val="tx1"/>
            </w14:solidFill>
          </w14:textFill>
        </w:rPr>
      </w:pPr>
      <w:r>
        <w:rPr>
          <w:rFonts w:hint="eastAsia" w:ascii="仿宋" w:hAnsi="仿宋" w:eastAsia="仿宋"/>
          <w:color w:val="000000" w:themeColor="text1"/>
          <w:sz w:val="28"/>
          <w:szCs w:val="28"/>
          <w14:textFill>
            <w14:solidFill>
              <w14:schemeClr w14:val="tx1"/>
            </w14:solidFill>
          </w14:textFill>
        </w:rPr>
        <w:t>2006年起，为贯彻落实党的十六届五中全会和全国科技大会精神，推动 “技术创新引导工程”深入实施，科学技术部、国务院国资委、中华全国总工会决定联合开展创新型企业试点工作。2008年起，为评估创新型企业试点工作进展，总结试点企业创新发展的经验，明确国家支持企业自主创新的政策导向，引导广大企业走依靠自主创新发展的道路，逐步培育形成中国的创新型企业500强，科学技术部、国务院国资委、中华全国总工会联合开展创新型企业评价（认定）工作。至今认定国家级创新型企业试点676家，国家级创新型企业356家。2014年，为进一步转变政府职能，加强科技资源开放共享，支撑和推进创新型企业建设，科技部构建了创新型企业共享服务平台，并开展了试运行服务。经商国务院国资委和中华全国总工会，决定在面向广大企业开放服务的基础上，组织开展了创新型企业加盟平台共建工作。</w:t>
      </w:r>
    </w:p>
    <w:p>
      <w:pPr>
        <w:ind w:firstLine="560" w:firstLineChars="200"/>
        <w:rPr>
          <w:rFonts w:ascii="仿宋" w:hAnsi="仿宋" w:eastAsia="仿宋"/>
          <w:color w:val="000000" w:themeColor="text1"/>
          <w:sz w:val="28"/>
          <w:szCs w:val="28"/>
          <w14:textFill>
            <w14:solidFill>
              <w14:schemeClr w14:val="tx1"/>
            </w14:solidFill>
          </w14:textFill>
        </w:rPr>
      </w:pPr>
      <w:r>
        <w:rPr>
          <w:rFonts w:hint="eastAsia" w:ascii="仿宋" w:hAnsi="仿宋" w:eastAsia="仿宋"/>
          <w:color w:val="000000" w:themeColor="text1"/>
          <w:sz w:val="28"/>
          <w:szCs w:val="28"/>
          <w14:textFill>
            <w14:solidFill>
              <w14:schemeClr w14:val="tx1"/>
            </w14:solidFill>
          </w14:textFill>
        </w:rPr>
        <w:t>2006年至2013年，广东省紧跟国家技术创新工作步伐，由省科技厅、发展改革委、经贸委、国资委、知识产权局和省总工会六部门联合开展广东省创新型企业试点和广东省创新型企业评价（认定）工作。2014年该两项评审工作进行职能转移，省高企协会通过公开竞争的方式获得承担该项目的评审认定工作。为了保持创新型企业政策的延续性和一致性，本次试点、认定的标准和方案，均保持2013年省科技厅制定的相关认定评审标准并和国家创新型企业的评价指标体系相衔接。截止201</w:t>
      </w:r>
      <w:r>
        <w:rPr>
          <w:rFonts w:hint="eastAsia" w:ascii="仿宋" w:hAnsi="仿宋" w:eastAsia="仿宋"/>
          <w:color w:val="000000" w:themeColor="text1"/>
          <w:sz w:val="28"/>
          <w:szCs w:val="28"/>
          <w:lang w:val="en-US" w:eastAsia="zh-CN"/>
          <w14:textFill>
            <w14:solidFill>
              <w14:schemeClr w14:val="tx1"/>
            </w14:solidFill>
          </w14:textFill>
        </w:rPr>
        <w:t>7</w:t>
      </w:r>
      <w:r>
        <w:rPr>
          <w:rFonts w:hint="eastAsia" w:ascii="仿宋" w:hAnsi="仿宋" w:eastAsia="仿宋"/>
          <w:color w:val="000000" w:themeColor="text1"/>
          <w:sz w:val="28"/>
          <w:szCs w:val="28"/>
          <w14:textFill>
            <w14:solidFill>
              <w14:schemeClr w14:val="tx1"/>
            </w14:solidFill>
          </w14:textFill>
        </w:rPr>
        <w:t>年12月，共认定省级创新型企业试点</w:t>
      </w:r>
      <w:r>
        <w:rPr>
          <w:rFonts w:hint="eastAsia" w:ascii="仿宋" w:hAnsi="仿宋" w:eastAsia="仿宋"/>
          <w:color w:val="000000" w:themeColor="text1"/>
          <w:sz w:val="28"/>
          <w:szCs w:val="28"/>
          <w:lang w:val="en-US" w:eastAsia="zh-CN"/>
          <w14:textFill>
            <w14:solidFill>
              <w14:schemeClr w14:val="tx1"/>
            </w14:solidFill>
          </w14:textFill>
        </w:rPr>
        <w:t>779</w:t>
      </w:r>
      <w:r>
        <w:rPr>
          <w:rFonts w:hint="eastAsia" w:ascii="仿宋" w:hAnsi="仿宋" w:eastAsia="仿宋"/>
          <w:color w:val="000000" w:themeColor="text1"/>
          <w:sz w:val="28"/>
          <w:szCs w:val="28"/>
          <w14:textFill>
            <w14:solidFill>
              <w14:schemeClr w14:val="tx1"/>
            </w14:solidFill>
          </w14:textFill>
        </w:rPr>
        <w:t>家，省级创新型企业</w:t>
      </w:r>
      <w:r>
        <w:rPr>
          <w:rFonts w:hint="eastAsia" w:ascii="仿宋" w:hAnsi="仿宋" w:eastAsia="仿宋"/>
          <w:color w:val="000000" w:themeColor="text1"/>
          <w:sz w:val="28"/>
          <w:szCs w:val="28"/>
          <w:lang w:val="en-US" w:eastAsia="zh-CN"/>
          <w14:textFill>
            <w14:solidFill>
              <w14:schemeClr w14:val="tx1"/>
            </w14:solidFill>
          </w14:textFill>
        </w:rPr>
        <w:t>611</w:t>
      </w:r>
      <w:r>
        <w:rPr>
          <w:rFonts w:hint="eastAsia" w:ascii="仿宋" w:hAnsi="仿宋" w:eastAsia="仿宋"/>
          <w:color w:val="000000" w:themeColor="text1"/>
          <w:sz w:val="28"/>
          <w:szCs w:val="28"/>
          <w14:textFill>
            <w14:solidFill>
              <w14:schemeClr w14:val="tx1"/>
            </w14:solidFill>
          </w14:textFill>
        </w:rPr>
        <w:t>家。</w:t>
      </w:r>
    </w:p>
    <w:p>
      <w:pPr>
        <w:widowControl/>
        <w:shd w:val="clear" w:color="auto" w:fill="FFFFFF"/>
        <w:spacing w:line="360" w:lineRule="atLeast"/>
        <w:ind w:firstLine="560" w:firstLineChars="200"/>
        <w:jc w:val="left"/>
        <w:rPr>
          <w:rFonts w:ascii="仿宋" w:hAnsi="仿宋" w:eastAsia="仿宋"/>
          <w:color w:val="000000" w:themeColor="text1"/>
          <w:sz w:val="28"/>
          <w:szCs w:val="28"/>
          <w14:textFill>
            <w14:solidFill>
              <w14:schemeClr w14:val="tx1"/>
            </w14:solidFill>
          </w14:textFill>
        </w:rPr>
      </w:pPr>
      <w:r>
        <w:rPr>
          <w:rFonts w:hint="eastAsia" w:ascii="仿宋" w:hAnsi="仿宋" w:eastAsia="仿宋"/>
          <w:color w:val="000000" w:themeColor="text1"/>
          <w:sz w:val="28"/>
          <w:szCs w:val="28"/>
          <w14:textFill>
            <w14:solidFill>
              <w14:schemeClr w14:val="tx1"/>
            </w14:solidFill>
          </w14:textFill>
        </w:rPr>
        <w:t>在省级创新型企业的扶持政策方面，《</w:t>
      </w:r>
      <w:r>
        <w:rPr>
          <w:rFonts w:ascii="仿宋" w:hAnsi="仿宋" w:eastAsia="仿宋"/>
          <w:color w:val="000000" w:themeColor="text1"/>
          <w:sz w:val="28"/>
          <w:szCs w:val="28"/>
          <w14:textFill>
            <w14:solidFill>
              <w14:schemeClr w14:val="tx1"/>
            </w14:solidFill>
          </w14:textFill>
        </w:rPr>
        <w:t>广东省自主创新促进条例</w:t>
      </w:r>
      <w:r>
        <w:rPr>
          <w:rFonts w:hint="eastAsia" w:ascii="仿宋" w:hAnsi="仿宋" w:eastAsia="仿宋"/>
          <w:color w:val="000000" w:themeColor="text1"/>
          <w:sz w:val="28"/>
          <w:szCs w:val="28"/>
          <w:lang w:eastAsia="zh-CN"/>
          <w14:textFill>
            <w14:solidFill>
              <w14:schemeClr w14:val="tx1"/>
            </w14:solidFill>
          </w14:textFill>
        </w:rPr>
        <w:t>（修正案）</w:t>
      </w:r>
      <w:r>
        <w:rPr>
          <w:rFonts w:hint="eastAsia" w:ascii="仿宋" w:hAnsi="仿宋" w:eastAsia="仿宋"/>
          <w:color w:val="000000" w:themeColor="text1"/>
          <w:sz w:val="28"/>
          <w:szCs w:val="28"/>
          <w14:textFill>
            <w14:solidFill>
              <w14:schemeClr w14:val="tx1"/>
            </w14:solidFill>
          </w14:textFill>
        </w:rPr>
        <w:t>》中明确提到，</w:t>
      </w:r>
      <w:r>
        <w:rPr>
          <w:rFonts w:ascii="仿宋" w:hAnsi="仿宋" w:eastAsia="仿宋"/>
          <w:color w:val="000000" w:themeColor="text1"/>
          <w:sz w:val="28"/>
          <w:szCs w:val="28"/>
          <w14:textFill>
            <w14:solidFill>
              <w14:schemeClr w14:val="tx1"/>
            </w14:solidFill>
          </w14:textFill>
        </w:rPr>
        <w:t>县级以上人民政府应当支持企业发展成为具有自主知识产权、自主品牌和持续创新能力的创新型企业。省级创新型企业可以优先承担省级自</w:t>
      </w:r>
      <w:bookmarkStart w:id="0" w:name="_GoBack"/>
      <w:bookmarkEnd w:id="0"/>
      <w:r>
        <w:rPr>
          <w:rFonts w:ascii="仿宋" w:hAnsi="仿宋" w:eastAsia="仿宋"/>
          <w:color w:val="000000" w:themeColor="text1"/>
          <w:sz w:val="28"/>
          <w:szCs w:val="28"/>
          <w14:textFill>
            <w14:solidFill>
              <w14:schemeClr w14:val="tx1"/>
            </w14:solidFill>
          </w14:textFill>
        </w:rPr>
        <w:t>主创新重大专项，其相关研究开发和产业化涉及的资金及用地优先予以保障。鼓励和支持创新型企业组建科学技术研究开发机构，制定企业创新发展战略，整合优化各类创新资源，从事核心技术、关键技术和公共技术研究。</w:t>
      </w:r>
      <w:r>
        <w:rPr>
          <w:rFonts w:ascii="仿宋" w:hAnsi="仿宋" w:eastAsia="仿宋"/>
          <w:color w:val="000000" w:themeColor="text1"/>
          <w:sz w:val="28"/>
          <w:szCs w:val="28"/>
          <w14:textFill>
            <w14:solidFill>
              <w14:schemeClr w14:val="tx1"/>
            </w14:solidFill>
          </w14:textFill>
        </w:rPr>
        <w:t>鼓励和支持创新型企业通过股权交易、发行股票和债券等方式进行融资。</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0" w:lineRule="atLeast"/>
        <w:ind w:right="0" w:firstLine="560" w:firstLineChars="200"/>
        <w:rPr>
          <w:rFonts w:hint="eastAsia" w:ascii="宋体" w:hAnsi="宋体" w:cs="宋体"/>
          <w:i w:val="0"/>
          <w:caps w:val="0"/>
          <w:color w:val="000000" w:themeColor="text1"/>
          <w:spacing w:val="0"/>
          <w:sz w:val="28"/>
          <w:szCs w:val="28"/>
          <w:shd w:val="clear" w:fill="FFFFFF"/>
          <w:lang w:val="en-US" w:eastAsia="zh-CN"/>
          <w14:textFill>
            <w14:solidFill>
              <w14:schemeClr w14:val="tx1"/>
            </w14:solidFill>
          </w14:textFill>
        </w:rPr>
      </w:pPr>
      <w:r>
        <w:rPr>
          <w:rFonts w:hint="eastAsia" w:ascii="仿宋" w:hAnsi="仿宋" w:eastAsia="仿宋"/>
          <w:color w:val="000000" w:themeColor="text1"/>
          <w:sz w:val="28"/>
          <w:szCs w:val="28"/>
          <w14:textFill>
            <w14:solidFill>
              <w14:schemeClr w14:val="tx1"/>
            </w14:solidFill>
          </w14:textFill>
        </w:rPr>
        <w:t>部分地市对创新型企业制定了相应的奖励及扶持政策。</w:t>
      </w:r>
      <w:r>
        <w:rPr>
          <w:rFonts w:hint="eastAsia" w:ascii="仿宋" w:hAnsi="仿宋" w:eastAsia="仿宋"/>
          <w:color w:val="000000" w:themeColor="text1"/>
          <w:sz w:val="28"/>
          <w:szCs w:val="28"/>
          <w:lang w:val="en-US" w:eastAsia="zh-CN"/>
          <w14:textFill>
            <w14:solidFill>
              <w14:schemeClr w14:val="tx1"/>
            </w14:solidFill>
          </w14:textFill>
        </w:rPr>
        <w:t>2016年</w:t>
      </w:r>
      <w:r>
        <w:rPr>
          <w:rFonts w:hint="eastAsia" w:ascii="仿宋" w:hAnsi="仿宋" w:eastAsia="仿宋"/>
          <w:color w:val="000000" w:themeColor="text1"/>
          <w:sz w:val="28"/>
          <w:szCs w:val="28"/>
          <w14:textFill>
            <w14:solidFill>
              <w14:schemeClr w14:val="tx1"/>
            </w14:solidFill>
          </w14:textFill>
        </w:rPr>
        <w:t>6月份，惠州市科学技术局及惠州市财政局联合发布了《关于组织申报2016年惠州市高新技术企业和创新型企业认定专项经费资助的通知》，对2015年首次获得认定的国家级、省级创新型企业，分别给予30万元和10万元的资助。惠州市自2015年开始，已连续两年对通过认定的国家级、省级创新型企业均给予了相应的资金奖励。佛山市在2016年7月发布的《佛山市人民政府办公室关于印发佛山市知识产权质押融资风险补偿资金管理试行办法的通知》中，将已获得广东省创新型试点企业或创新型企业称号的企业列为优先支持对象。</w:t>
      </w:r>
      <w:r>
        <w:rPr>
          <w:rFonts w:hint="eastAsia" w:ascii="仿宋" w:hAnsi="仿宋" w:eastAsia="仿宋"/>
          <w:color w:val="000000" w:themeColor="text1"/>
          <w:sz w:val="28"/>
          <w:szCs w:val="28"/>
          <w:lang w:eastAsia="zh-CN"/>
          <w14:textFill>
            <w14:solidFill>
              <w14:schemeClr w14:val="tx1"/>
            </w14:solidFill>
          </w14:textFill>
        </w:rPr>
        <w:t>肇庆市在</w:t>
      </w:r>
      <w:r>
        <w:rPr>
          <w:rFonts w:hint="eastAsia" w:ascii="仿宋" w:hAnsi="仿宋" w:eastAsia="仿宋"/>
          <w:color w:val="000000" w:themeColor="text1"/>
          <w:sz w:val="28"/>
          <w:szCs w:val="28"/>
          <w:lang w:val="en-US" w:eastAsia="zh-CN"/>
          <w14:textFill>
            <w14:solidFill>
              <w14:schemeClr w14:val="tx1"/>
            </w14:solidFill>
          </w14:textFill>
        </w:rPr>
        <w:t>2013年9月发布的《</w:t>
      </w:r>
      <w:r>
        <w:rPr>
          <w:rFonts w:hint="eastAsia" w:ascii="仿宋" w:hAnsi="仿宋" w:eastAsia="仿宋"/>
          <w:color w:val="000000" w:themeColor="text1"/>
          <w:sz w:val="28"/>
          <w:szCs w:val="28"/>
          <w14:textFill>
            <w14:solidFill>
              <w14:schemeClr w14:val="tx1"/>
            </w14:solidFill>
          </w14:textFill>
        </w:rPr>
        <w:t>肇庆高新区技术创新工程专项资金管理暂行办法（修订）</w:t>
      </w:r>
      <w:r>
        <w:rPr>
          <w:rFonts w:hint="eastAsia" w:ascii="仿宋" w:hAnsi="仿宋" w:eastAsia="仿宋"/>
          <w:color w:val="000000" w:themeColor="text1"/>
          <w:sz w:val="28"/>
          <w:szCs w:val="28"/>
          <w:lang w:val="en-US" w:eastAsia="zh-CN"/>
          <w14:textFill>
            <w14:solidFill>
              <w14:schemeClr w14:val="tx1"/>
            </w14:solidFill>
          </w14:textFill>
        </w:rPr>
        <w:t>》中，对通过国家、省创新型企业认定的企业，分别一次性给予20万元、10万元的</w:t>
      </w:r>
      <w:r>
        <w:rPr>
          <w:rFonts w:hint="eastAsia" w:ascii="仿宋" w:hAnsi="仿宋" w:eastAsia="仿宋" w:cs="Times New Roman"/>
          <w:color w:val="000000" w:themeColor="text1"/>
          <w:sz w:val="28"/>
          <w:szCs w:val="28"/>
          <w:lang w:val="en-US" w:eastAsia="zh-CN"/>
          <w14:textFill>
            <w14:solidFill>
              <w14:schemeClr w14:val="tx1"/>
            </w14:solidFill>
          </w14:textFill>
        </w:rPr>
        <w:t>奖励</w:t>
      </w:r>
      <w:r>
        <w:rPr>
          <w:rFonts w:hint="eastAsia" w:ascii="仿宋" w:hAnsi="仿宋" w:eastAsia="仿宋"/>
          <w:color w:val="000000" w:themeColor="text1"/>
          <w:sz w:val="28"/>
          <w:szCs w:val="28"/>
          <w:lang w:val="en-US" w:eastAsia="zh-CN"/>
          <w14:textFill>
            <w14:solidFill>
              <w14:schemeClr w14:val="tx1"/>
            </w14:solidFill>
          </w14:textFill>
        </w:rPr>
        <w:t>。</w:t>
      </w:r>
      <w:r>
        <w:rPr>
          <w:rFonts w:hint="eastAsia" w:ascii="仿宋" w:hAnsi="仿宋" w:eastAsia="仿宋" w:cs="Times New Roman"/>
          <w:color w:val="000000" w:themeColor="text1"/>
          <w:sz w:val="28"/>
          <w:szCs w:val="28"/>
          <w:lang w:val="en-US" w:eastAsia="zh-CN"/>
          <w14:textFill>
            <w14:solidFill>
              <w14:schemeClr w14:val="tx1"/>
            </w14:solidFill>
          </w14:textFill>
        </w:rPr>
        <w:t>在《肇庆市加快民营经济发展实施意见》（肇办字〔2017〕12号）提到，对新型研发机构培育对象，在市级科技计划项目安排中给予适当支持，对新型研发机构设立的创新型企业可采取股权投资形式进行扶持。</w:t>
      </w:r>
      <w:r>
        <w:rPr>
          <w:rFonts w:hint="eastAsia" w:ascii="仿宋" w:hAnsi="仿宋" w:eastAsia="仿宋"/>
          <w:color w:val="000000" w:themeColor="text1"/>
          <w:sz w:val="28"/>
          <w:szCs w:val="28"/>
          <w:lang w:val="en-US" w:eastAsia="zh-CN"/>
          <w14:textFill>
            <w14:solidFill>
              <w14:schemeClr w14:val="tx1"/>
            </w14:solidFill>
          </w14:textFill>
        </w:rPr>
        <w:t>广州市海珠区在2017年发布的《</w:t>
      </w:r>
      <w:r>
        <w:rPr>
          <w:rFonts w:hint="default" w:ascii="仿宋" w:hAnsi="仿宋" w:eastAsia="仿宋"/>
          <w:color w:val="000000" w:themeColor="text1"/>
          <w:sz w:val="28"/>
          <w:szCs w:val="28"/>
          <w:lang w:val="en-US" w:eastAsia="zh-CN"/>
          <w14:textFill>
            <w14:solidFill>
              <w14:schemeClr w14:val="tx1"/>
            </w14:solidFill>
          </w14:textFill>
        </w:rPr>
        <w:t>广州市海珠区企业创新奖励办法</w:t>
      </w:r>
      <w:r>
        <w:rPr>
          <w:rFonts w:hint="eastAsia" w:ascii="仿宋" w:hAnsi="仿宋" w:eastAsia="仿宋"/>
          <w:color w:val="000000" w:themeColor="text1"/>
          <w:sz w:val="28"/>
          <w:szCs w:val="28"/>
          <w:lang w:val="en-US" w:eastAsia="zh-CN"/>
          <w14:textFill>
            <w14:solidFill>
              <w14:schemeClr w14:val="tx1"/>
            </w14:solidFill>
          </w14:textFill>
        </w:rPr>
        <w:t>》（海府[2016]12号）提到，</w:t>
      </w:r>
      <w:r>
        <w:rPr>
          <w:rFonts w:hint="default" w:ascii="仿宋" w:hAnsi="仿宋" w:eastAsia="仿宋"/>
          <w:color w:val="000000" w:themeColor="text1"/>
          <w:sz w:val="28"/>
          <w:szCs w:val="28"/>
          <w:lang w:val="en-US" w:eastAsia="zh-CN"/>
          <w14:textFill>
            <w14:solidFill>
              <w14:schemeClr w14:val="tx1"/>
            </w14:solidFill>
          </w14:textFill>
        </w:rPr>
        <w:t>对获得各级创新型企业、高新技术企业和科技小巨人企业认定的奖励：1.获得国家、省、市创新型企业认定的，分别一次性奖励 50万元、40万元、30万元</w:t>
      </w:r>
      <w:r>
        <w:rPr>
          <w:rFonts w:hint="eastAsia" w:ascii="仿宋" w:hAnsi="仿宋" w:eastAsia="仿宋"/>
          <w:color w:val="000000" w:themeColor="text1"/>
          <w:sz w:val="28"/>
          <w:szCs w:val="28"/>
          <w:lang w:val="en-US" w:eastAsia="zh-CN"/>
          <w14:textFill>
            <w14:solidFill>
              <w14:schemeClr w14:val="tx1"/>
            </w14:solidFill>
          </w14:textFill>
        </w:rPr>
        <w:t>。广州市白云区在2018年发布的《广州市白云区人民政府关于加快科技创新驱动发展的实施意见》（云府〔2015〕13 号）每年认定区创新型企业 10 家。对被认定为区创新型企业的，给予企业一次性 5 万元奖励；对认定为我区创新型企业后被国家、省、市认定为创新型企业的，分别给予 4 万元、3 万元、2 万元配套奖励。深圳市在《关于促进科技创新的若干措施》（深发[2016]7号）提到</w:t>
      </w:r>
      <w:r>
        <w:rPr>
          <w:rFonts w:hint="eastAsia" w:ascii="宋体" w:hAnsi="宋体" w:eastAsia="宋体" w:cs="宋体"/>
          <w:i w:val="0"/>
          <w:caps w:val="0"/>
          <w:color w:val="000000" w:themeColor="text1"/>
          <w:spacing w:val="0"/>
          <w:sz w:val="28"/>
          <w:szCs w:val="28"/>
          <w:shd w:val="clear" w:fill="FFFFFF"/>
          <w14:textFill>
            <w14:solidFill>
              <w14:schemeClr w14:val="tx1"/>
            </w14:solidFill>
          </w14:textFill>
        </w:rPr>
        <w:t>探索设立科技创新银行、科技创业证券公司等新型金融机构，为创新型企业提供专业金融服务。组建金融控股集团，引进固化优质金融资源。鼓励银行业金融机构加强差异化信贷管理，放宽创新型中小微企业不良贷款容忍率至5%。支持开展知识产权质押贷款、信用贷款等金融创新业务。开展投贷联动试点，支持有条件的银行业金融机构与创业投资、股权投资机构合作，为创新型企业提供股权和债权相结合的融资服务。鼓励企业通过上市、再融资、并购重组等多种方式筹措资金，提高直接融资比重。利用深交所创业板设立的单独层次，支持深圳尚未盈利的互联网和高新技术企业上市融资。深化外商投资企业股权投资（QFLP）试点，鼓励境外资本通过股权投资等方式支持本市创新型企业发展。开展股权众筹融资试点，支持科技型企业向境内外合格投资者募集资金。规范发展网络借贷，拓宽创新型中小微企业融资渠道。</w:t>
      </w:r>
      <w:r>
        <w:rPr>
          <w:rFonts w:hint="eastAsia" w:ascii="宋体" w:hAnsi="宋体" w:cs="宋体"/>
          <w:i w:val="0"/>
          <w:caps w:val="0"/>
          <w:color w:val="000000" w:themeColor="text1"/>
          <w:spacing w:val="0"/>
          <w:sz w:val="28"/>
          <w:szCs w:val="28"/>
          <w:shd w:val="clear" w:fill="FFFFFF"/>
          <w:lang w:val="en-US" w:eastAsia="zh-CN"/>
          <w14:textFill>
            <w14:solidFill>
              <w14:schemeClr w14:val="tx1"/>
            </w14:solidFill>
          </w14:textFill>
        </w:rPr>
        <w:t>2018年8月10日</w:t>
      </w:r>
      <w:r>
        <w:rPr>
          <w:rFonts w:hint="eastAsia" w:ascii="宋体" w:hAnsi="宋体" w:cs="宋体"/>
          <w:i w:val="0"/>
          <w:caps w:val="0"/>
          <w:color w:val="000000" w:themeColor="text1"/>
          <w:spacing w:val="0"/>
          <w:sz w:val="28"/>
          <w:szCs w:val="28"/>
          <w:shd w:val="clear" w:fill="FFFFFF"/>
          <w:lang w:eastAsia="zh-CN"/>
          <w14:textFill>
            <w14:solidFill>
              <w14:schemeClr w14:val="tx1"/>
            </w14:solidFill>
          </w14:textFill>
        </w:rPr>
        <w:t>广东省科技厅在《关于组织申报2018年度科技与金融结合项目的通知》提到获得“广东省创新型试点企业”或“广东省创新型企业”认定资格（或入库）的企业拥有申报普惠性科技信贷风险补偿申报的资格。</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420" w:lineRule="atLeast"/>
        <w:ind w:right="0" w:firstLine="600" w:firstLineChars="200"/>
        <w:jc w:val="left"/>
        <w:rPr>
          <w:rFonts w:hint="eastAsia" w:ascii="仿宋" w:hAnsi="仿宋" w:eastAsia="仿宋"/>
          <w:color w:val="000000" w:themeColor="text1"/>
          <w:sz w:val="30"/>
          <w:szCs w:val="30"/>
          <w:lang w:val="en-US" w:eastAsia="zh-CN"/>
          <w14:textFill>
            <w14:solidFill>
              <w14:schemeClr w14:val="tx1"/>
            </w14:solidFill>
          </w14:textFill>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7" w:lineRule="atLeast"/>
        <w:ind w:left="0" w:right="0" w:firstLine="0"/>
        <w:rPr>
          <w:rFonts w:hint="eastAsia" w:ascii="仿宋" w:hAnsi="仿宋" w:eastAsia="仿宋" w:cs="宋体"/>
          <w:b/>
          <w:color w:val="000000" w:themeColor="text1"/>
          <w:kern w:val="0"/>
          <w:sz w:val="30"/>
          <w:szCs w:val="30"/>
          <w:lang w:val="en-US" w:eastAsia="zh-CN" w:bidi="ar"/>
          <w14:textFill>
            <w14:solidFill>
              <w14:schemeClr w14:val="tx1"/>
            </w14:solidFill>
          </w14:textFill>
        </w:rPr>
      </w:pPr>
    </w:p>
    <w:p>
      <w:pPr>
        <w:ind w:firstLine="600" w:firstLineChars="200"/>
        <w:rPr>
          <w:rFonts w:ascii="仿宋" w:hAnsi="仿宋" w:eastAsia="仿宋"/>
          <w:color w:val="000000" w:themeColor="text1"/>
          <w:sz w:val="30"/>
          <w:szCs w:val="30"/>
          <w14:textFill>
            <w14:solidFill>
              <w14:schemeClr w14:val="tx1"/>
            </w14:solidFill>
          </w14:textFill>
        </w:rPr>
      </w:pPr>
    </w:p>
    <w:p>
      <w:pPr>
        <w:rPr>
          <w:rFonts w:ascii="仿宋" w:hAnsi="仿宋" w:eastAsia="仿宋"/>
          <w:color w:val="000000" w:themeColor="text1"/>
          <w:sz w:val="30"/>
          <w:szCs w:val="30"/>
          <w14:textFill>
            <w14:solidFill>
              <w14:schemeClr w14:val="tx1"/>
            </w14:solidFill>
          </w14:textFill>
        </w:rPr>
      </w:pPr>
    </w:p>
    <w:sectPr>
      <w:pgSz w:w="11906" w:h="16838"/>
      <w:pgMar w:top="1270" w:right="1797" w:bottom="1270" w:left="179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00007A87" w:usb1="80000000" w:usb2="00000008" w:usb3="00000000" w:csb0="400001FF" w:csb1="FFFF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方正小标宋简体">
    <w:altName w:val="黑体"/>
    <w:panose1 w:val="03000509000000000000"/>
    <w:charset w:val="86"/>
    <w:family w:val="script"/>
    <w:pitch w:val="default"/>
    <w:sig w:usb0="00000000" w:usb1="00000000" w:usb2="00000000" w:usb3="00000000" w:csb0="00040000" w:csb1="00000000"/>
  </w:font>
  <w:font w:name="仿宋">
    <w:altName w:val="宋体"/>
    <w:panose1 w:val="02010609060101010101"/>
    <w:charset w:val="86"/>
    <w:family w:val="modern"/>
    <w:pitch w:val="default"/>
    <w:sig w:usb0="00000000" w:usb1="00000000"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7"/>
  <w:doNotDisplayPageBoundaries w:val="1"/>
  <w:embedSystemFonts/>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6B7410"/>
    <w:rsid w:val="0000388D"/>
    <w:rsid w:val="00073AFE"/>
    <w:rsid w:val="000835D6"/>
    <w:rsid w:val="000F5770"/>
    <w:rsid w:val="0015440E"/>
    <w:rsid w:val="0016042B"/>
    <w:rsid w:val="001B532D"/>
    <w:rsid w:val="00256E5A"/>
    <w:rsid w:val="002868C4"/>
    <w:rsid w:val="002923CB"/>
    <w:rsid w:val="0031390D"/>
    <w:rsid w:val="0031775F"/>
    <w:rsid w:val="00327543"/>
    <w:rsid w:val="00335EE2"/>
    <w:rsid w:val="003421B9"/>
    <w:rsid w:val="00346367"/>
    <w:rsid w:val="003556DE"/>
    <w:rsid w:val="003810E7"/>
    <w:rsid w:val="003A1417"/>
    <w:rsid w:val="003E0E6B"/>
    <w:rsid w:val="00437F2B"/>
    <w:rsid w:val="004B22B0"/>
    <w:rsid w:val="00507B26"/>
    <w:rsid w:val="005601BF"/>
    <w:rsid w:val="005B41C0"/>
    <w:rsid w:val="00681319"/>
    <w:rsid w:val="006B7410"/>
    <w:rsid w:val="006F4271"/>
    <w:rsid w:val="006F6760"/>
    <w:rsid w:val="007054CE"/>
    <w:rsid w:val="008734B9"/>
    <w:rsid w:val="008C1B60"/>
    <w:rsid w:val="00901E9F"/>
    <w:rsid w:val="009D5323"/>
    <w:rsid w:val="009E22D3"/>
    <w:rsid w:val="009E586B"/>
    <w:rsid w:val="00A5606D"/>
    <w:rsid w:val="00B074A1"/>
    <w:rsid w:val="00BF63DC"/>
    <w:rsid w:val="00C17811"/>
    <w:rsid w:val="00C71D83"/>
    <w:rsid w:val="00CC46E0"/>
    <w:rsid w:val="00CE4D5D"/>
    <w:rsid w:val="00D56161"/>
    <w:rsid w:val="00DB0768"/>
    <w:rsid w:val="00DF010A"/>
    <w:rsid w:val="00DF2E42"/>
    <w:rsid w:val="00E37DF1"/>
    <w:rsid w:val="00E92847"/>
    <w:rsid w:val="00F06F20"/>
    <w:rsid w:val="00F208D6"/>
    <w:rsid w:val="00F74196"/>
    <w:rsid w:val="00FA3C5E"/>
    <w:rsid w:val="1383288D"/>
    <w:rsid w:val="13930BD0"/>
    <w:rsid w:val="1F7734B7"/>
    <w:rsid w:val="22D42E0D"/>
    <w:rsid w:val="299F7018"/>
    <w:rsid w:val="350960C9"/>
    <w:rsid w:val="35386558"/>
    <w:rsid w:val="38AD78DC"/>
    <w:rsid w:val="3B2801A4"/>
    <w:rsid w:val="3BBF3F21"/>
    <w:rsid w:val="3F58066D"/>
    <w:rsid w:val="4B64189A"/>
    <w:rsid w:val="54660F60"/>
    <w:rsid w:val="60924CE2"/>
    <w:rsid w:val="63D03B4D"/>
    <w:rsid w:val="68C03495"/>
    <w:rsid w:val="6B8912C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paragraph" w:styleId="3">
    <w:name w:val="heading 3"/>
    <w:basedOn w:val="1"/>
    <w:next w:val="1"/>
    <w:link w:val="15"/>
    <w:qFormat/>
    <w:uiPriority w:val="0"/>
    <w:pPr>
      <w:keepNext/>
      <w:keepLines/>
      <w:spacing w:line="416" w:lineRule="auto"/>
      <w:outlineLvl w:val="2"/>
    </w:pPr>
    <w:rPr>
      <w:rFonts w:ascii="Times New Roman" w:hAnsi="Times New Roman" w:eastAsia="方正小标宋简体"/>
      <w:b/>
      <w:bCs/>
      <w:sz w:val="24"/>
      <w:szCs w:val="32"/>
    </w:rPr>
  </w:style>
  <w:style w:type="character" w:default="1" w:styleId="7">
    <w:name w:val="Default Paragraph Font"/>
    <w:unhideWhenUsed/>
    <w:uiPriority w:val="1"/>
  </w:style>
  <w:style w:type="table" w:default="1" w:styleId="11">
    <w:name w:val="Normal Table"/>
    <w:unhideWhenUsed/>
    <w:qFormat/>
    <w:uiPriority w:val="99"/>
    <w:tblPr>
      <w:tblLayout w:type="fixed"/>
      <w:tblCellMar>
        <w:top w:w="0" w:type="dxa"/>
        <w:left w:w="108" w:type="dxa"/>
        <w:bottom w:w="0" w:type="dxa"/>
        <w:right w:w="108" w:type="dxa"/>
      </w:tblCellMar>
    </w:tblPr>
  </w:style>
  <w:style w:type="paragraph" w:styleId="4">
    <w:name w:val="footer"/>
    <w:basedOn w:val="1"/>
    <w:link w:val="13"/>
    <w:qFormat/>
    <w:uiPriority w:val="0"/>
    <w:pPr>
      <w:tabs>
        <w:tab w:val="center" w:pos="4153"/>
        <w:tab w:val="right" w:pos="8306"/>
      </w:tabs>
      <w:snapToGrid w:val="0"/>
      <w:jc w:val="left"/>
    </w:pPr>
    <w:rPr>
      <w:sz w:val="18"/>
      <w:szCs w:val="18"/>
    </w:rPr>
  </w:style>
  <w:style w:type="paragraph" w:styleId="5">
    <w:name w:val="header"/>
    <w:basedOn w:val="1"/>
    <w:link w:val="12"/>
    <w:qFormat/>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0"/>
    <w:pPr>
      <w:spacing w:before="0" w:beforeAutospacing="1" w:after="0" w:afterAutospacing="1"/>
      <w:ind w:left="0" w:right="0"/>
      <w:jc w:val="left"/>
    </w:pPr>
    <w:rPr>
      <w:kern w:val="0"/>
      <w:sz w:val="24"/>
      <w:lang w:val="en-US" w:eastAsia="zh-CN" w:bidi="ar"/>
    </w:rPr>
  </w:style>
  <w:style w:type="character" w:styleId="8">
    <w:name w:val="Strong"/>
    <w:basedOn w:val="7"/>
    <w:qFormat/>
    <w:uiPriority w:val="0"/>
    <w:rPr>
      <w:b/>
    </w:rPr>
  </w:style>
  <w:style w:type="character" w:styleId="9">
    <w:name w:val="FollowedHyperlink"/>
    <w:basedOn w:val="7"/>
    <w:qFormat/>
    <w:uiPriority w:val="0"/>
    <w:rPr>
      <w:color w:val="007DA3"/>
      <w:u w:val="single"/>
    </w:rPr>
  </w:style>
  <w:style w:type="character" w:styleId="10">
    <w:name w:val="Hyperlink"/>
    <w:basedOn w:val="7"/>
    <w:qFormat/>
    <w:uiPriority w:val="0"/>
    <w:rPr>
      <w:color w:val="007DA3"/>
      <w:u w:val="single"/>
    </w:rPr>
  </w:style>
  <w:style w:type="character" w:customStyle="1" w:styleId="12">
    <w:name w:val="页眉 Char"/>
    <w:basedOn w:val="7"/>
    <w:link w:val="5"/>
    <w:qFormat/>
    <w:uiPriority w:val="0"/>
    <w:rPr>
      <w:kern w:val="2"/>
      <w:sz w:val="18"/>
      <w:szCs w:val="18"/>
    </w:rPr>
  </w:style>
  <w:style w:type="character" w:customStyle="1" w:styleId="13">
    <w:name w:val="页脚 Char"/>
    <w:basedOn w:val="7"/>
    <w:link w:val="4"/>
    <w:qFormat/>
    <w:uiPriority w:val="0"/>
    <w:rPr>
      <w:kern w:val="2"/>
      <w:sz w:val="18"/>
      <w:szCs w:val="18"/>
    </w:rPr>
  </w:style>
  <w:style w:type="paragraph" w:customStyle="1" w:styleId="14">
    <w:name w:val="List Paragraph"/>
    <w:basedOn w:val="1"/>
    <w:qFormat/>
    <w:uiPriority w:val="34"/>
    <w:pPr>
      <w:ind w:firstLine="420" w:firstLineChars="200"/>
    </w:pPr>
  </w:style>
  <w:style w:type="character" w:customStyle="1" w:styleId="15">
    <w:name w:val="标题 3 Char"/>
    <w:link w:val="3"/>
    <w:qFormat/>
    <w:uiPriority w:val="0"/>
    <w:rPr>
      <w:rFonts w:ascii="Times New Roman" w:hAnsi="Times New Roman" w:eastAsia="方正小标宋简体"/>
      <w:b/>
      <w:bCs/>
      <w:sz w:val="24"/>
      <w:szCs w:val="3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177</Words>
  <Characters>1014</Characters>
  <Lines>8</Lines>
  <Paragraphs>2</Paragraphs>
  <TotalTime>4</TotalTime>
  <ScaleCrop>false</ScaleCrop>
  <LinksUpToDate>false</LinksUpToDate>
  <CharactersWithSpaces>1189</CharactersWithSpaces>
  <Application>WPS Office_10.1.0.7520_F1E327BC-269C-435d-A152-05C5408002CA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2014-11-19T02:37:00Z</dcterms:created>
  <dc:creator>ＤＥＬＬ</dc:creator>
  <cp:lastModifiedBy>Kakeen.</cp:lastModifiedBy>
  <cp:lastPrinted>2014-11-19T03:42:00Z</cp:lastPrinted>
  <dcterms:modified xsi:type="dcterms:W3CDTF">2018-08-23T07:28:28Z</dcterms:modified>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2052-10.1.0.7520</vt:lpwstr>
  </property>
</Properties>
</file>