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6"/>
        <w:widowControl/>
        <w:spacing w:line="600" w:lineRule="exact"/>
        <w:ind w:left="0"/>
        <w:rPr>
          <w:rFonts w:ascii="黑体" w:eastAsia="黑体" w:hint="eastAsia"/>
          <w:b w:val="0"/>
          <w:bCs w:val="0"/>
          <w:sz w:val="32"/>
          <w:szCs w:val="32"/>
          <w:lang w:eastAsia="zh-CN"/>
        </w:rPr>
      </w:pPr>
      <w:bookmarkStart w:id="0" w:name="_Toc50314594"/>
      <w:bookmarkStart w:id="1" w:name="_Toc50727802"/>
      <w:r>
        <w:rPr>
          <w:rFonts w:ascii="黑体" w:eastAsia="黑体" w:hint="eastAsia"/>
          <w:b w:val="0"/>
          <w:bCs w:val="0"/>
          <w:sz w:val="32"/>
          <w:szCs w:val="32"/>
          <w:lang w:eastAsia="zh-CN"/>
        </w:rPr>
        <w:t>附件2</w:t>
      </w:r>
    </w:p>
    <w:p>
      <w:pPr>
        <w:pStyle w:val="16"/>
        <w:widowControl/>
        <w:spacing w:line="600" w:lineRule="exact"/>
        <w:ind w:left="0"/>
        <w:rPr>
          <w:rFonts w:ascii="方正小标宋简体" w:eastAsia="方正小标宋简体"/>
          <w:b w:val="0"/>
          <w:bCs w:val="0"/>
          <w:sz w:val="44"/>
          <w:szCs w:val="44"/>
          <w:lang w:eastAsia="zh-CN"/>
        </w:rPr>
      </w:pPr>
      <w:bookmarkStart w:id="2" w:name="_GoBack"/>
      <w:bookmarkEnd w:id="2"/>
    </w:p>
    <w:p>
      <w:pPr>
        <w:pStyle w:val="16"/>
        <w:widowControl/>
        <w:spacing w:line="600" w:lineRule="exact"/>
        <w:ind w:firstLineChars="200" w:firstLine="880"/>
        <w:rPr>
          <w:rFonts w:ascii="方正小标宋简体" w:eastAsia="方正小标宋简体" w:hint="eastAsia"/>
          <w:b w:val="0"/>
          <w:bCs w:val="0"/>
          <w:sz w:val="44"/>
          <w:szCs w:val="44"/>
        </w:rPr>
      </w:pPr>
      <w:r>
        <w:rPr>
          <w:rFonts w:ascii="方正小标宋简体" w:eastAsia="方正小标宋简体" w:hint="eastAsia"/>
          <w:b w:val="0"/>
          <w:bCs w:val="0"/>
          <w:sz w:val="44"/>
          <w:szCs w:val="44"/>
          <w:lang w:eastAsia="zh-CN"/>
        </w:rPr>
        <w:t>中南区</w:t>
      </w:r>
      <w:r>
        <w:rPr>
          <w:rFonts w:ascii="方正小标宋简体" w:eastAsia="方正小标宋简体" w:hint="eastAsia"/>
          <w:b w:val="0"/>
          <w:bCs w:val="0"/>
          <w:sz w:val="44"/>
          <w:szCs w:val="44"/>
        </w:rPr>
        <w:t>动物及动物产品指定通道检查站</w:t>
      </w:r>
      <w:bookmarkEnd w:id="0"/>
    </w:p>
    <w:p>
      <w:pPr>
        <w:pStyle w:val="17"/>
        <w:spacing w:before="0" w:after="0" w:line="600" w:lineRule="exact"/>
        <w:rPr>
          <w:rFonts w:ascii="方正小标宋简体" w:eastAsia="方正小标宋简体" w:hint="eastAsia"/>
          <w:b w:val="0"/>
          <w:bCs w:val="0"/>
          <w:sz w:val="44"/>
          <w:szCs w:val="44"/>
        </w:rPr>
      </w:pPr>
      <w:bookmarkStart w:id="3" w:name="_Toc53126105"/>
      <w:bookmarkStart w:id="4" w:name="_Toc53404607"/>
      <w:bookmarkStart w:id="5" w:name="_Toc53494764"/>
      <w:bookmarkStart w:id="6" w:name="_Toc50314595"/>
      <w:r>
        <w:rPr>
          <w:rFonts w:ascii="方正小标宋简体" w:eastAsia="方正小标宋简体" w:hint="eastAsia"/>
          <w:b w:val="0"/>
          <w:bCs w:val="0"/>
          <w:sz w:val="44"/>
          <w:szCs w:val="44"/>
        </w:rPr>
        <w:t>规范化建设指引</w:t>
      </w:r>
      <w:bookmarkEnd w:id="1"/>
      <w:bookmarkEnd w:id="3"/>
      <w:bookmarkEnd w:id="4"/>
      <w:bookmarkEnd w:id="5"/>
      <w:bookmarkEnd w:id="6"/>
    </w:p>
    <w:p>
      <w:pPr>
        <w:spacing w:line="600" w:lineRule="exact"/>
        <w:jc w:val="center"/>
        <w:rPr>
          <w:rFonts w:ascii="楷体_GB2312" w:eastAsia="楷体_GB2312" w:hint="eastAsia"/>
          <w:b/>
          <w:bCs/>
          <w:color w:val="000000"/>
          <w:sz w:val="32"/>
          <w:szCs w:val="32"/>
          <w:shd w:val="clear" w:color="auto" w:fill="auto"/>
        </w:rPr>
      </w:pPr>
      <w:r>
        <w:rPr>
          <w:rFonts w:ascii="楷体_GB2312" w:eastAsia="楷体_GB2312" w:hint="eastAsia"/>
          <w:b/>
          <w:bCs/>
          <w:color w:val="000000"/>
          <w:sz w:val="32"/>
          <w:szCs w:val="32"/>
          <w:shd w:val="clear" w:color="auto" w:fill="auto"/>
        </w:rPr>
        <w:t>（试</w:t>
      </w:r>
      <w:r>
        <w:rPr>
          <w:rFonts w:ascii="楷体_GB2312" w:eastAsia="楷体_GB2312"/>
          <w:b/>
          <w:bCs/>
          <w:color w:val="000000"/>
          <w:sz w:val="32"/>
          <w:szCs w:val="32"/>
          <w:shd w:val="clear" w:color="auto" w:fill="auto"/>
        </w:rPr>
        <w:t xml:space="preserve"> </w:t>
      </w:r>
      <w:r>
        <w:rPr>
          <w:rFonts w:ascii="楷体_GB2312" w:eastAsia="楷体_GB2312" w:hint="eastAsia"/>
          <w:b/>
          <w:bCs/>
          <w:color w:val="000000"/>
          <w:sz w:val="32"/>
          <w:szCs w:val="32"/>
          <w:shd w:val="clear" w:color="auto" w:fill="auto"/>
        </w:rPr>
        <w:t>行）</w:t>
      </w:r>
    </w:p>
    <w:p>
      <w:pPr>
        <w:spacing w:line="600" w:lineRule="exact"/>
        <w:jc w:val="center"/>
        <w:rPr>
          <w:rFonts w:ascii="楷体_GB2312" w:eastAsia="楷体_GB2312" w:hint="eastAsia"/>
          <w:sz w:val="44"/>
          <w:szCs w:val="44"/>
        </w:rPr>
      </w:pPr>
    </w:p>
    <w:p>
      <w:pPr>
        <w:numPr>
          <w:ilvl w:val="0"/>
          <w:numId w:val="1"/>
        </w:numPr>
        <w:snapToGrid w:val="0"/>
        <w:spacing w:line="600" w:lineRule="exact"/>
        <w:ind w:left="0" w:firstLineChars="200" w:firstLine="640"/>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为加强</w:t>
      </w:r>
      <w:r>
        <w:rPr>
          <w:rFonts w:ascii="仿宋_GB2312" w:eastAsia="仿宋_GB2312" w:hint="eastAsia"/>
          <w:sz w:val="32"/>
          <w:szCs w:val="32"/>
          <w:lang w:eastAsia="zh-CN"/>
        </w:rPr>
        <w:t>中南区</w:t>
      </w:r>
      <w:r>
        <w:rPr>
          <w:rFonts w:ascii="仿宋_GB2312" w:eastAsia="仿宋_GB2312" w:hint="eastAsia"/>
          <w:sz w:val="32"/>
          <w:szCs w:val="32"/>
        </w:rPr>
        <w:t>动物及动物产品指定通道检查站的建设和管理，构建高效运行、互为补充、相互策应的立体化监管网络，有效打击跨区域、跨省违法违规调运动物及动物产品行为，切断动物疫病传播途径，制定本指引。</w:t>
      </w:r>
    </w:p>
    <w:p>
      <w:pPr>
        <w:numPr>
          <w:ilvl w:val="0"/>
          <w:numId w:val="1"/>
        </w:numPr>
        <w:snapToGrid w:val="0"/>
        <w:spacing w:line="600" w:lineRule="exact"/>
        <w:ind w:left="0" w:firstLineChars="200" w:firstLine="640"/>
        <w:rPr>
          <w:rFonts w:ascii="仿宋_GB2312" w:eastAsia="仿宋_GB2312" w:hint="eastAsia"/>
          <w:sz w:val="32"/>
          <w:szCs w:val="32"/>
        </w:rPr>
      </w:pPr>
      <w:r>
        <w:rPr>
          <w:rFonts w:ascii="仿宋_GB2312" w:eastAsia="仿宋_GB2312"/>
          <w:sz w:val="32"/>
          <w:szCs w:val="32"/>
          <w:lang w:eastAsia="zh-CN"/>
        </w:rPr>
        <w:t xml:space="preserve"> </w:t>
      </w:r>
      <w:r>
        <w:rPr>
          <w:rFonts w:ascii="仿宋_GB2312" w:eastAsia="仿宋_GB2312" w:hint="eastAsia"/>
          <w:sz w:val="32"/>
          <w:szCs w:val="32"/>
          <w:lang w:eastAsia="zh-CN"/>
        </w:rPr>
        <w:t>中南区</w:t>
      </w:r>
      <w:r>
        <w:rPr>
          <w:rFonts w:ascii="仿宋_GB2312" w:eastAsia="仿宋_GB2312" w:hint="eastAsia"/>
          <w:sz w:val="32"/>
          <w:szCs w:val="32"/>
        </w:rPr>
        <w:t>动物及动物产品指定通道检查站（以下简称“指定通道检查站”）是指经区域重大动物疫病分区防控联席会议办公室（以下简称“联席会议办公室”）与区域内各省级农业农村部门协商确定的，位于区内省际间的动物及动物产品指定通道检查站。</w:t>
      </w:r>
    </w:p>
    <w:p>
      <w:pPr>
        <w:numPr>
          <w:ilvl w:val="0"/>
          <w:numId w:val="1"/>
        </w:numPr>
        <w:snapToGrid w:val="0"/>
        <w:spacing w:line="600" w:lineRule="exact"/>
        <w:ind w:left="0" w:firstLineChars="200" w:firstLine="640"/>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指定通道检查站的设置应当坚持“政府主导、部门联动、共建共享、协同推进”的原则，统筹考虑区域重点路网干线布局、现有指定通道资源、动物及动物产品运输车辆流通情况和实际监管能力等因素，科学布设检查站点。</w:t>
      </w:r>
    </w:p>
    <w:p>
      <w:pPr>
        <w:numPr>
          <w:ilvl w:val="0"/>
          <w:numId w:val="1"/>
        </w:numPr>
        <w:snapToGrid w:val="0"/>
        <w:spacing w:line="600" w:lineRule="exact"/>
        <w:ind w:left="0" w:firstLineChars="200" w:firstLine="640"/>
        <w:rPr>
          <w:rFonts w:ascii="仿宋_GB2312" w:eastAsia="仿宋_GB2312" w:cs="宋体" w:hint="eastAsia"/>
          <w:sz w:val="32"/>
          <w:szCs w:val="32"/>
          <w:lang w:bidi="ar-SA"/>
        </w:rPr>
      </w:pPr>
      <w:r>
        <w:rPr>
          <w:rFonts w:ascii="仿宋_GB2312" w:eastAsia="仿宋_GB2312"/>
          <w:sz w:val="32"/>
          <w:szCs w:val="32"/>
        </w:rPr>
        <w:t xml:space="preserve"> </w:t>
      </w:r>
      <w:r>
        <w:rPr>
          <w:rFonts w:ascii="仿宋_GB2312" w:eastAsia="仿宋_GB2312" w:hint="eastAsia"/>
          <w:sz w:val="32"/>
          <w:szCs w:val="32"/>
        </w:rPr>
        <w:t>中南区鼓励和支持相邻省份农业农村部门积极探索联合执法、资源共享的工作模式，逐步优化调整省际间指定通道规划布局。</w:t>
      </w:r>
      <w:r>
        <w:rPr>
          <w:rFonts w:ascii="仿宋_GB2312" w:eastAsia="仿宋_GB2312" w:cs="宋体" w:hint="eastAsia"/>
          <w:sz w:val="32"/>
          <w:szCs w:val="32"/>
          <w:lang w:bidi="ar-SA"/>
        </w:rPr>
        <w:t>一是在区域发生重大动物疫情，需要设立临时检查站时，中南区内各省之间设立的检查站尽可能设在同一条国道（或高速、省道）上，鼓励联合建站、联合检查。二是中南区与区外接壤省设立的检查站要建立联防联动机制，做到信息互通，密切协作，同时收集报告区外疫情防控形势和状况。三是落实指定通道制度，加大宣传力度，强化落地监管，督促动物及其产品运输车辆走指定通道。</w:t>
      </w:r>
    </w:p>
    <w:p>
      <w:pPr>
        <w:numPr>
          <w:ilvl w:val="0"/>
          <w:numId w:val="1"/>
        </w:numPr>
        <w:snapToGrid w:val="0"/>
        <w:spacing w:line="600" w:lineRule="exact"/>
        <w:ind w:left="0" w:firstLineChars="200" w:firstLine="640"/>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区域内各级农业农村部门应加强与本级交通运输、公安等部门协作沟通，建立动物及动物产品调运协作监管长效机制。</w:t>
      </w:r>
    </w:p>
    <w:p>
      <w:pPr>
        <w:numPr>
          <w:ilvl w:val="0"/>
          <w:numId w:val="1"/>
        </w:numPr>
        <w:snapToGrid w:val="0"/>
        <w:spacing w:line="600" w:lineRule="exact"/>
        <w:ind w:left="0" w:firstLineChars="200" w:firstLine="640"/>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中南区各省（区、市）应加大对指定通道检查站的财政支持和投入力度，给予必要的工作人员、检查装备和工作经费等条件保障，确保指定通道检查站高效运行。</w:t>
      </w:r>
    </w:p>
    <w:p>
      <w:pPr>
        <w:numPr>
          <w:ilvl w:val="0"/>
          <w:numId w:val="1"/>
        </w:numPr>
        <w:snapToGrid w:val="0"/>
        <w:spacing w:line="600" w:lineRule="exact"/>
        <w:ind w:left="0" w:firstLineChars="200" w:firstLine="640"/>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中南区统筹推进指定通道检查站信息平台建设，促进区域内养殖、运输和屠宰等环节相关信息数据深度融合和综合利用。</w:t>
      </w:r>
    </w:p>
    <w:p>
      <w:pPr>
        <w:numPr>
          <w:ilvl w:val="0"/>
          <w:numId w:val="1"/>
        </w:numPr>
        <w:snapToGrid w:val="0"/>
        <w:spacing w:line="600" w:lineRule="exact"/>
        <w:ind w:left="0" w:firstLineChars="200" w:firstLine="640"/>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指定通道检查站应设立明显的提示标志，引导动物及动物产品运输车辆驶入接受监督检查。提示标志前置距离按照《城市道路交通标志和标线设置规范 GB51038-2015》有关规定执行。</w:t>
      </w:r>
    </w:p>
    <w:p>
      <w:pPr>
        <w:tabs>
          <w:tab w:val="left" w:pos="-1275"/>
        </w:tabs>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指定通道检查站</w:t>
      </w:r>
      <w:r>
        <w:rPr>
          <w:rFonts w:ascii="仿宋_GB2312" w:eastAsia="仿宋_GB2312" w:hint="eastAsia"/>
          <w:bCs/>
          <w:sz w:val="32"/>
          <w:szCs w:val="32"/>
        </w:rPr>
        <w:t>名称统一为“中南区***省（区）***</w:t>
      </w:r>
      <w:r>
        <w:rPr>
          <w:rFonts w:ascii="仿宋_GB2312" w:eastAsia="仿宋_GB2312" w:hint="eastAsia"/>
          <w:sz w:val="32"/>
          <w:szCs w:val="32"/>
        </w:rPr>
        <w:t>动物及动物产品</w:t>
      </w:r>
      <w:r>
        <w:rPr>
          <w:rFonts w:ascii="仿宋_GB2312" w:eastAsia="仿宋_GB2312" w:hint="eastAsia"/>
          <w:bCs/>
          <w:sz w:val="32"/>
          <w:szCs w:val="32"/>
        </w:rPr>
        <w:t>指定通道检查站”。</w:t>
      </w:r>
    </w:p>
    <w:p>
      <w:pPr>
        <w:numPr>
          <w:ilvl w:val="0"/>
          <w:numId w:val="1"/>
        </w:numPr>
        <w:snapToGrid w:val="0"/>
        <w:spacing w:line="600" w:lineRule="exact"/>
        <w:ind w:left="0" w:firstLineChars="200" w:firstLine="640"/>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指定通道检查站应在醒目位置公示设站依据、所属区域、主管机关、监督依据、工作职责、检查程序、工作人员、工作纪律和监督电话等信息，提供与动物及动物产品检疫等业务工作相关的办事指南，配备必要的便民服务设施。</w:t>
      </w:r>
    </w:p>
    <w:p>
      <w:pPr>
        <w:numPr>
          <w:ilvl w:val="0"/>
          <w:numId w:val="1"/>
        </w:numPr>
        <w:snapToGrid w:val="0"/>
        <w:spacing w:line="600" w:lineRule="exact"/>
        <w:ind w:left="0" w:firstLineChars="200" w:firstLine="640"/>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指定通道检查站应建设与监督检查工作相适应的查验申报场所、消毒通道（或消毒区域）、停车场和休息室等设施。条件允许的，应在相关区域安装视频监控系统。</w:t>
      </w:r>
    </w:p>
    <w:p>
      <w:pPr>
        <w:numPr>
          <w:ilvl w:val="0"/>
          <w:numId w:val="1"/>
        </w:numPr>
        <w:snapToGrid w:val="0"/>
        <w:spacing w:line="600" w:lineRule="exact"/>
        <w:ind w:left="0" w:firstLineChars="200" w:firstLine="640"/>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指定通道检查站应配备工作相适应的办公、监督检查和应急等设备物资以及必要的安全防护器具。</w:t>
      </w:r>
    </w:p>
    <w:p>
      <w:pPr>
        <w:pStyle w:val="18"/>
        <w:numPr>
          <w:ilvl w:val="0"/>
          <w:numId w:val="2"/>
        </w:numPr>
        <w:tabs>
          <w:tab w:val="clear" w:pos="0"/>
          <w:tab w:val="left" w:pos="-1985"/>
          <w:tab w:val="left" w:pos="-1275"/>
          <w:tab w:val="left" w:pos="0"/>
        </w:tabs>
        <w:snapToGrid w:val="0"/>
        <w:spacing w:line="600" w:lineRule="exact"/>
        <w:ind w:left="0" w:firstLineChars="200" w:firstLine="640"/>
        <w:rPr>
          <w:rFonts w:ascii="仿宋_GB2312" w:eastAsia="仿宋_GB2312" w:hint="eastAsia"/>
          <w:sz w:val="32"/>
          <w:szCs w:val="32"/>
        </w:rPr>
      </w:pPr>
      <w:r>
        <w:rPr>
          <w:rFonts w:ascii="仿宋_GB2312" w:eastAsia="仿宋_GB2312" w:hint="eastAsia"/>
          <w:bCs/>
          <w:sz w:val="32"/>
          <w:szCs w:val="32"/>
        </w:rPr>
        <w:t>办公桌椅、资料档案柜、</w:t>
      </w:r>
      <w:r>
        <w:rPr>
          <w:rFonts w:ascii="仿宋_GB2312" w:eastAsia="仿宋_GB2312" w:hint="eastAsia"/>
          <w:sz w:val="32"/>
          <w:szCs w:val="32"/>
        </w:rPr>
        <w:t>电脑、打印机、照相机等办公设备。</w:t>
      </w:r>
    </w:p>
    <w:p>
      <w:pPr>
        <w:pStyle w:val="18"/>
        <w:numPr>
          <w:ilvl w:val="0"/>
          <w:numId w:val="2"/>
        </w:numPr>
        <w:tabs>
          <w:tab w:val="clear" w:pos="0"/>
          <w:tab w:val="left" w:pos="-1985"/>
          <w:tab w:val="left" w:pos="-1275"/>
          <w:tab w:val="left" w:pos="0"/>
        </w:tabs>
        <w:snapToGrid w:val="0"/>
        <w:spacing w:line="600" w:lineRule="exact"/>
        <w:ind w:left="0" w:firstLineChars="200" w:firstLine="640"/>
        <w:rPr>
          <w:rFonts w:ascii="仿宋_GB2312" w:eastAsia="仿宋_GB2312" w:hint="eastAsia"/>
          <w:bCs/>
          <w:sz w:val="32"/>
          <w:szCs w:val="32"/>
        </w:rPr>
      </w:pPr>
      <w:r>
        <w:rPr>
          <w:rFonts w:ascii="仿宋_GB2312" w:eastAsia="仿宋_GB2312" w:hint="eastAsia"/>
          <w:bCs/>
          <w:sz w:val="32"/>
          <w:szCs w:val="32"/>
        </w:rPr>
        <w:t>应急手电筒、应急电源等应急设备。</w:t>
      </w:r>
    </w:p>
    <w:p>
      <w:pPr>
        <w:pStyle w:val="18"/>
        <w:numPr>
          <w:ilvl w:val="0"/>
          <w:numId w:val="2"/>
        </w:numPr>
        <w:tabs>
          <w:tab w:val="clear" w:pos="0"/>
          <w:tab w:val="left" w:pos="-1985"/>
          <w:tab w:val="left" w:pos="-1275"/>
          <w:tab w:val="left" w:pos="0"/>
        </w:tabs>
        <w:snapToGrid w:val="0"/>
        <w:spacing w:line="600" w:lineRule="exact"/>
        <w:ind w:left="0" w:firstLineChars="200" w:firstLine="640"/>
        <w:rPr>
          <w:rFonts w:ascii="仿宋_GB2312" w:eastAsia="仿宋_GB2312" w:hint="eastAsia"/>
          <w:bCs/>
          <w:sz w:val="32"/>
          <w:szCs w:val="32"/>
        </w:rPr>
      </w:pPr>
      <w:r>
        <w:rPr>
          <w:rFonts w:ascii="仿宋_GB2312" w:eastAsia="仿宋_GB2312" w:hint="eastAsia"/>
          <w:sz w:val="32"/>
          <w:szCs w:val="32"/>
        </w:rPr>
        <w:t>执法记录仪、动物耳温枪、采样箱、冰箱（冰柜）等监督检查设备。</w:t>
      </w:r>
    </w:p>
    <w:p>
      <w:pPr>
        <w:pStyle w:val="18"/>
        <w:numPr>
          <w:ilvl w:val="0"/>
          <w:numId w:val="2"/>
        </w:numPr>
        <w:tabs>
          <w:tab w:val="clear" w:pos="0"/>
          <w:tab w:val="left" w:pos="-1985"/>
          <w:tab w:val="left" w:pos="-1275"/>
          <w:tab w:val="left" w:pos="0"/>
        </w:tabs>
        <w:snapToGrid w:val="0"/>
        <w:spacing w:line="600" w:lineRule="exact"/>
        <w:ind w:left="0" w:firstLineChars="200" w:firstLine="640"/>
        <w:rPr>
          <w:rFonts w:ascii="仿宋_GB2312" w:eastAsia="仿宋_GB2312" w:hint="eastAsia"/>
          <w:bCs/>
          <w:sz w:val="32"/>
          <w:szCs w:val="32"/>
        </w:rPr>
      </w:pPr>
      <w:r>
        <w:rPr>
          <w:rFonts w:ascii="仿宋_GB2312" w:eastAsia="仿宋_GB2312" w:hint="eastAsia"/>
          <w:sz w:val="32"/>
          <w:szCs w:val="32"/>
        </w:rPr>
        <w:t>防护服、反光背心、停车牌、口罩和手套等安全防护器具。</w:t>
      </w:r>
    </w:p>
    <w:p>
      <w:pPr>
        <w:numPr>
          <w:ilvl w:val="0"/>
          <w:numId w:val="1"/>
        </w:numPr>
        <w:snapToGrid w:val="0"/>
        <w:spacing w:line="600" w:lineRule="exact"/>
        <w:ind w:left="0" w:firstLineChars="200" w:firstLine="640"/>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指定通道检查站应配备与监督检查工作量相适应的工作人员。实行24小时工作制度，每班工作人员不少于2人。</w:t>
      </w:r>
    </w:p>
    <w:p>
      <w:pPr>
        <w:numPr>
          <w:ilvl w:val="0"/>
          <w:numId w:val="1"/>
        </w:numPr>
        <w:snapToGrid w:val="0"/>
        <w:spacing w:line="600" w:lineRule="exact"/>
        <w:ind w:left="0" w:firstLineChars="200" w:firstLine="640"/>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工作人员应登录区域统一的信息平台，按照以下程序对运输车辆、运输的动物及动物产品和承运人等相关信息进行查验、实施监督检查。</w:t>
      </w:r>
    </w:p>
    <w:p>
      <w:pPr>
        <w:numPr>
          <w:ilvl w:val="0"/>
          <w:numId w:val="3"/>
        </w:numPr>
        <w:snapToGrid w:val="0"/>
        <w:spacing w:line="600" w:lineRule="exact"/>
        <w:ind w:left="0" w:firstLineChars="200" w:firstLine="640"/>
        <w:rPr>
          <w:rFonts w:ascii="仿宋_GB2312" w:eastAsia="仿宋_GB2312" w:hint="eastAsia"/>
          <w:sz w:val="32"/>
          <w:szCs w:val="32"/>
        </w:rPr>
      </w:pPr>
      <w:r>
        <w:rPr>
          <w:rFonts w:ascii="仿宋_GB2312" w:eastAsia="仿宋_GB2312" w:hint="eastAsia"/>
          <w:sz w:val="32"/>
          <w:szCs w:val="32"/>
        </w:rPr>
        <w:t>核对动物检疫证明、“点对点”调运备案表、车辆备案信息等相关材料与信息平台记录是否一致;</w:t>
      </w:r>
    </w:p>
    <w:p>
      <w:pPr>
        <w:numPr>
          <w:ilvl w:val="0"/>
          <w:numId w:val="3"/>
        </w:numPr>
        <w:snapToGrid w:val="0"/>
        <w:spacing w:line="600" w:lineRule="exact"/>
        <w:ind w:left="0" w:firstLineChars="200" w:firstLine="640"/>
        <w:rPr>
          <w:rFonts w:ascii="仿宋_GB2312" w:eastAsia="仿宋_GB2312" w:hint="eastAsia"/>
          <w:sz w:val="32"/>
          <w:szCs w:val="32"/>
        </w:rPr>
      </w:pPr>
      <w:r>
        <w:rPr>
          <w:rFonts w:ascii="仿宋_GB2312" w:eastAsia="仿宋_GB2312" w:hint="eastAsia"/>
          <w:sz w:val="32"/>
          <w:szCs w:val="32"/>
        </w:rPr>
        <w:t>观察动物健康状况，了解动物运输途中有无死亡和其它异常现象；</w:t>
      </w:r>
    </w:p>
    <w:p>
      <w:pPr>
        <w:numPr>
          <w:ilvl w:val="0"/>
          <w:numId w:val="3"/>
        </w:numPr>
        <w:snapToGrid w:val="0"/>
        <w:spacing w:line="600" w:lineRule="exact"/>
        <w:ind w:left="0" w:firstLineChars="200" w:firstLine="640"/>
        <w:rPr>
          <w:rFonts w:ascii="仿宋_GB2312" w:eastAsia="仿宋_GB2312" w:hint="eastAsia"/>
          <w:sz w:val="32"/>
          <w:szCs w:val="32"/>
        </w:rPr>
      </w:pPr>
      <w:r>
        <w:rPr>
          <w:rFonts w:ascii="仿宋_GB2312" w:eastAsia="仿宋_GB2312" w:hint="eastAsia"/>
          <w:bCs/>
          <w:sz w:val="32"/>
          <w:szCs w:val="32"/>
        </w:rPr>
        <w:t>检查合格的，上传并确认监督检查、消毒等相关信息，签字盖章后，准予放行</w:t>
      </w:r>
      <w:r>
        <w:rPr>
          <w:rFonts w:ascii="仿宋_GB2312" w:eastAsia="仿宋_GB2312" w:hint="eastAsia"/>
          <w:sz w:val="32"/>
          <w:szCs w:val="32"/>
        </w:rPr>
        <w:t>；</w:t>
      </w:r>
    </w:p>
    <w:p>
      <w:pPr>
        <w:numPr>
          <w:ilvl w:val="0"/>
          <w:numId w:val="3"/>
        </w:numPr>
        <w:snapToGrid w:val="0"/>
        <w:spacing w:line="600" w:lineRule="exact"/>
        <w:ind w:left="0" w:firstLineChars="200" w:firstLine="640"/>
        <w:rPr>
          <w:rFonts w:ascii="仿宋_GB2312" w:eastAsia="仿宋_GB2312" w:hint="eastAsia"/>
          <w:sz w:val="32"/>
          <w:szCs w:val="32"/>
        </w:rPr>
      </w:pPr>
      <w:r>
        <w:rPr>
          <w:rFonts w:ascii="仿宋_GB2312" w:eastAsia="仿宋_GB2312" w:hint="eastAsia"/>
          <w:bCs/>
          <w:sz w:val="32"/>
          <w:szCs w:val="32"/>
        </w:rPr>
        <w:t>检查不合格的或发现有违法违规行为的，对动物及动物产品采取必要的临时隔离和控制措施，按照相关规定向当地农业农村部门报告，并及时向启运地、输入地以及有关部门通报</w:t>
      </w:r>
      <w:r>
        <w:rPr>
          <w:rFonts w:ascii="仿宋_GB2312" w:eastAsia="仿宋_GB2312" w:hint="eastAsia"/>
          <w:sz w:val="32"/>
          <w:szCs w:val="32"/>
        </w:rPr>
        <w:t>；</w:t>
      </w:r>
    </w:p>
    <w:p>
      <w:pPr>
        <w:numPr>
          <w:ilvl w:val="0"/>
          <w:numId w:val="3"/>
        </w:numPr>
        <w:snapToGrid w:val="0"/>
        <w:spacing w:line="600" w:lineRule="exact"/>
        <w:ind w:left="0" w:firstLineChars="200" w:firstLine="640"/>
        <w:rPr>
          <w:rFonts w:ascii="仿宋_GB2312" w:eastAsia="仿宋_GB2312" w:hint="eastAsia"/>
          <w:sz w:val="32"/>
          <w:szCs w:val="32"/>
        </w:rPr>
      </w:pPr>
      <w:r>
        <w:rPr>
          <w:rFonts w:ascii="仿宋_GB2312" w:eastAsia="仿宋_GB2312" w:hint="eastAsia"/>
          <w:sz w:val="32"/>
          <w:szCs w:val="32"/>
        </w:rPr>
        <w:t>对运输车辆进行消毒</w:t>
      </w:r>
      <w:r>
        <w:rPr>
          <w:rFonts w:ascii="仿宋_GB2312" w:eastAsia="仿宋_GB2312" w:hint="eastAsia"/>
          <w:bCs/>
          <w:sz w:val="32"/>
          <w:szCs w:val="32"/>
        </w:rPr>
        <w:t>。</w:t>
      </w:r>
      <w:r>
        <w:rPr>
          <w:rFonts w:ascii="仿宋_GB2312" w:eastAsia="仿宋_GB2312" w:hint="eastAsia"/>
          <w:sz w:val="32"/>
          <w:szCs w:val="32"/>
        </w:rPr>
        <w:t xml:space="preserve"> </w:t>
      </w:r>
    </w:p>
    <w:p>
      <w:pPr>
        <w:numPr>
          <w:ilvl w:val="0"/>
          <w:numId w:val="1"/>
        </w:numPr>
        <w:snapToGrid w:val="0"/>
        <w:spacing w:line="600" w:lineRule="exact"/>
        <w:ind w:left="0" w:firstLineChars="200" w:firstLine="640"/>
        <w:rPr>
          <w:rFonts w:ascii="仿宋_GB2312" w:eastAsia="仿宋_GB2312" w:cs="宋体" w:hint="eastAsia"/>
          <w:sz w:val="32"/>
          <w:szCs w:val="32"/>
          <w:lang w:bidi="ar-SA"/>
        </w:rPr>
      </w:pPr>
      <w:r>
        <w:rPr>
          <w:rFonts w:ascii="仿宋_GB2312" w:eastAsia="仿宋_GB2312"/>
          <w:sz w:val="32"/>
          <w:szCs w:val="32"/>
        </w:rPr>
        <w:t xml:space="preserve"> </w:t>
      </w:r>
      <w:r>
        <w:rPr>
          <w:rFonts w:ascii="仿宋_GB2312" w:eastAsia="仿宋_GB2312" w:hint="eastAsia"/>
          <w:sz w:val="32"/>
          <w:szCs w:val="32"/>
        </w:rPr>
        <w:t>指定通道检查站的主管部门应按照本指引要求建立健全工作人员行为规范、工作程序、内务管理等相关管理制度。</w:t>
      </w:r>
    </w:p>
    <w:p>
      <w:pPr>
        <w:numPr>
          <w:ilvl w:val="0"/>
          <w:numId w:val="1"/>
        </w:numPr>
        <w:snapToGrid w:val="0"/>
        <w:spacing w:line="600" w:lineRule="exact"/>
        <w:ind w:left="0" w:firstLineChars="200" w:firstLine="640"/>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联席会议办公室应建立健全评估机制，加大对指定通道检查站规范化建设的指导和监督力度，及时将结果反馈给有关主管部门，作为对指定通道检查站工作进行奖惩的依据。</w:t>
      </w:r>
    </w:p>
    <w:p>
      <w:pPr>
        <w:numPr>
          <w:ilvl w:val="0"/>
          <w:numId w:val="1"/>
        </w:numPr>
        <w:snapToGrid w:val="0"/>
        <w:spacing w:line="600" w:lineRule="exact"/>
        <w:ind w:left="0" w:firstLineChars="200" w:firstLine="640"/>
        <w:rPr>
          <w:rFonts w:ascii="仿宋_GB2312" w:eastAsia="仿宋_GB2312" w:hint="eastAsia"/>
          <w:sz w:val="32"/>
          <w:szCs w:val="32"/>
        </w:rPr>
      </w:pPr>
      <w:r>
        <w:rPr>
          <w:rFonts w:ascii="仿宋_GB2312" w:eastAsia="仿宋_GB2312"/>
          <w:sz w:val="32"/>
          <w:szCs w:val="32"/>
        </w:rPr>
        <w:t xml:space="preserve"> </w:t>
      </w:r>
      <w:r>
        <w:rPr>
          <w:rFonts w:ascii="仿宋_GB2312" w:eastAsia="仿宋_GB2312" w:hint="eastAsia"/>
          <w:sz w:val="32"/>
          <w:szCs w:val="32"/>
        </w:rPr>
        <w:t>本</w:t>
      </w:r>
      <w:r>
        <w:rPr>
          <w:rFonts w:ascii="仿宋_GB2312" w:eastAsia="仿宋_GB2312" w:hint="eastAsia"/>
          <w:color w:val="000000"/>
          <w:sz w:val="32"/>
          <w:szCs w:val="32"/>
        </w:rPr>
        <w:t>办法自2020年</w:t>
      </w:r>
      <w:r>
        <w:rPr>
          <w:rFonts w:ascii="仿宋_GB2312" w:eastAsia="仿宋_GB2312"/>
          <w:color w:val="000000"/>
          <w:sz w:val="32"/>
          <w:szCs w:val="32"/>
        </w:rPr>
        <w:t>11</w:t>
      </w:r>
      <w:r>
        <w:rPr>
          <w:rFonts w:ascii="仿宋_GB2312" w:eastAsia="仿宋_GB2312" w:hint="eastAsia"/>
          <w:color w:val="000000"/>
          <w:sz w:val="32"/>
          <w:szCs w:val="32"/>
        </w:rPr>
        <w:t>月</w:t>
      </w:r>
      <w:r>
        <w:rPr>
          <w:rFonts w:ascii="仿宋_GB2312" w:eastAsia="仿宋_GB2312"/>
          <w:color w:val="000000"/>
          <w:sz w:val="32"/>
          <w:szCs w:val="32"/>
        </w:rPr>
        <w:t>30</w:t>
      </w:r>
      <w:r>
        <w:rPr>
          <w:rFonts w:ascii="仿宋_GB2312" w:eastAsia="仿宋_GB2312" w:hint="eastAsia"/>
          <w:color w:val="000000"/>
          <w:sz w:val="32"/>
          <w:szCs w:val="32"/>
        </w:rPr>
        <w:t>日起</w:t>
      </w:r>
      <w:r>
        <w:rPr>
          <w:rFonts w:ascii="仿宋_GB2312" w:eastAsia="仿宋_GB2312" w:hint="eastAsia"/>
          <w:sz w:val="32"/>
          <w:szCs w:val="32"/>
        </w:rPr>
        <w:t>施行。</w:t>
      </w:r>
    </w:p>
    <w:sectPr>
      <w:footerReference w:type="default" r:id="rId2"/>
      <w:footerReference w:type="even" r:id="rId3"/>
      <w:pgSz w:w="11907" w:h="16840"/>
      <w:pgMar w:top="1985" w:right="1361" w:bottom="1418" w:left="1531" w:header="851" w:footer="1134" w:gutter="0"/>
      <w:pgNumType w:fmt="numberInDash" w:start="11"/>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080E0000" w:usb2="00000000" w:usb3="00000000" w:csb0="00040001" w:csb1="00000000"/>
  </w:font>
  <w:font w:name="黑体">
    <w:panose1 w:val="02010600030101010101"/>
    <w:charset w:val="86"/>
    <w:family w:val="auto"/>
    <w:pitch w:val="variable"/>
    <w:sig w:usb0="00000001" w:usb1="080E0000" w:usb2="00000000" w:usb3="00000000" w:csb0="00040000" w:csb1="00000000"/>
  </w:font>
  <w:font w:name="方正小标宋简体">
    <w:altName w:val="黑体"/>
    <w:panose1 w:val="03000509000000000000"/>
    <w:charset w:val="86"/>
    <w:family w:val="script"/>
    <w:pitch w:val="variable"/>
    <w:sig w:usb0="00000001" w:usb1="080E0000" w:usb2="00000000" w:usb3="00000000" w:csb0="00040000" w:csb1="00000000"/>
  </w:font>
  <w:font w:name="楷体_GB2312">
    <w:altName w:val="楷体"/>
    <w:panose1 w:val="02010609030101010101"/>
    <w:charset w:val="86"/>
    <w:family w:val="auto"/>
    <w:pitch w:val="variable"/>
    <w:sig w:usb0="00000001" w:usb1="080E0000" w:usb2="0000000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swiss"/>
    <w:pitch w:val="variable"/>
    <w:sig w:usb0="E00002FF" w:usb1="4000ACFF" w:usb2="00000001" w:usb3="00000000" w:csb0="2000019F" w:csb1="00000000"/>
  </w:font>
  <w:font w:name="Arial">
    <w:panose1 w:val="020B0604020202020204"/>
    <w:charset w:val="00"/>
    <w:family w:val="auto"/>
    <w:pitch w:val="variable"/>
    <w:sig w:usb0="00007A87" w:usb1="80000000" w:usb2="00000008" w:usb3="00000000" w:csb0="400001FF" w:csb1="FFFF0000"/>
  </w:font>
  <w:font w:name="Cambria">
    <w:panose1 w:val="02040503050406030204"/>
    <w:charset w:val="00"/>
    <w:family w:val="roman"/>
    <w:pitch w:val="variable"/>
    <w:sig w:usb0="E00002FF" w:usb1="400004FF" w:usb2="00000000" w:usb3="00000000" w:csb0="2000019F" w:csb1="00000000"/>
  </w:font>
  <w:font w:name="华文中宋">
    <w:altName w:val="微软雅黑"/>
    <w:panose1 w:val="02010600040101010101"/>
    <w:charset w:val="86"/>
    <w:family w:val="auto"/>
    <w:pitch w:val="variable"/>
    <w:sig w:usb0="00000287" w:usb1="080F0000" w:usb2="00000010" w:usb3="00000000" w:csb0="000400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rPr>
        <w:rFonts w:ascii="宋体" w:hint="eastAsia"/>
        <w:sz w:val="28"/>
        <w:szCs w:val="28"/>
      </w:rPr>
    </w:pPr>
    <w:r>
      <w:rPr>
        <w:rStyle w:val="22"/>
        <w:rFonts w:ascii="宋体" w:hint="eastAsia"/>
        <w:sz w:val="28"/>
        <w:szCs w:val="28"/>
      </w:rPr>
      <w:fldChar w:fldCharType="begin"/>
    </w:r>
    <w:r>
      <w:rPr>
        <w:rStyle w:val="22"/>
        <w:rFonts w:ascii="宋体" w:hint="eastAsia"/>
        <w:sz w:val="28"/>
        <w:szCs w:val="28"/>
      </w:rPr>
      <w:instrText>Page</w:instrText>
    </w:r>
    <w:r>
      <w:rPr>
        <w:rStyle w:val="22"/>
        <w:rFonts w:ascii="宋体" w:hint="eastAsia"/>
        <w:sz w:val="28"/>
        <w:szCs w:val="28"/>
      </w:rPr>
      <w:fldChar w:fldCharType="separate"/>
    </w:r>
    <w:r>
      <w:rPr>
        <w:rStyle w:val="22"/>
        <w:rFonts w:ascii="宋体" w:hint="eastAsia"/>
        <w:sz w:val="28"/>
        <w:szCs w:val="28"/>
      </w:rPr>
      <w:t>- 11 -</w:t>
    </w:r>
    <w:r>
      <w:rPr>
        <w:rStyle w:val="22"/>
        <w:rFonts w:ascii="宋体" w:hint="eastAsia"/>
        <w:sz w:val="28"/>
        <w:szCs w:val="28"/>
      </w:rPr>
      <w:fldChar w:fldCharType="end"/>
    </w:r>
  </w:p>
  <w:p>
    <w:pPr>
      <w:pStyle w:val="21"/>
      <w:tabs>
        <w:tab w:val="center" w:pos="4153"/>
        <w:tab w:val="right" w:pos="8307"/>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22"/>
      </w:rPr>
      <w:fldChar w:fldCharType="begin"/>
    </w:r>
    <w:r>
      <w:rPr>
        <w:rStyle w:val="22"/>
      </w:rPr>
      <w:instrText>Page</w:instrText>
    </w:r>
    <w:r>
      <w:rPr>
        <w:rStyle w:val="22"/>
      </w:rPr>
      <w:fldChar w:fldCharType="separate"/>
    </w:r>
    <w:r>
      <w:rPr>
        <w:rStyle w:val="22"/>
      </w:rPr>
      <w:t>- 11 -</w:t>
    </w:r>
    <w:r>
      <w:rPr>
        <w:rStyle w:val="22"/>
      </w:rPr>
      <w:fldChar w:fldCharType="end"/>
    </w:r>
  </w:p>
  <w:p>
    <w:pPr>
      <w:pStyle w:val="21"/>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22"/>
      </w:rPr>
      <w:fldChar w:fldCharType="begin"/>
    </w:r>
    <w:r>
      <w:rPr>
        <w:rStyle w:val="22"/>
      </w:rPr>
      <w:instrText>Page</w:instrText>
    </w:r>
    <w:r>
      <w:rPr>
        <w:rStyle w:val="22"/>
      </w:rPr>
      <w:fldChar w:fldCharType="separate"/>
    </w:r>
    <w:r>
      <w:rPr>
        <w:rStyle w:val="22"/>
      </w:rPr>
      <w:t>- 12 -</w:t>
    </w:r>
    <w:r>
      <w:rPr>
        <w:rStyle w:val="22"/>
      </w:rPr>
      <w:fldChar w:fldCharType="end"/>
    </w:r>
  </w:p>
  <w:p>
    <w:pPr>
      <w:pStyle w:val="21"/>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22"/>
      </w:rPr>
      <w:fldChar w:fldCharType="begin"/>
    </w:r>
    <w:r>
      <w:rPr>
        <w:rStyle w:val="22"/>
      </w:rPr>
      <w:instrText>Page</w:instrText>
    </w:r>
    <w:r>
      <w:rPr>
        <w:rStyle w:val="22"/>
      </w:rPr>
      <w:fldChar w:fldCharType="separate"/>
    </w:r>
    <w:r>
      <w:rPr>
        <w:rStyle w:val="22"/>
      </w:rPr>
      <w:t>- 12 -</w:t>
    </w:r>
    <w:r>
      <w:rPr>
        <w:rStyle w:val="22"/>
      </w:rPr>
      <w:fldChar w:fldCharType="end"/>
    </w:r>
  </w:p>
  <w:p>
    <w:pPr>
      <w:pStyle w:val="21"/>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ind w:right="360" w:firstLine="360"/>
    </w:pPr>
    <w:r>
      <w:rPr>
        <w:rStyle w:val="22"/>
      </w:rPr>
      <w:fldChar w:fldCharType="begin"/>
    </w:r>
    <w:r>
      <w:rPr>
        <w:rStyle w:val="22"/>
      </w:rPr>
      <w:instrText>Page</w:instrText>
    </w:r>
    <w:r>
      <w:rPr>
        <w:rStyle w:val="22"/>
      </w:rPr>
      <w:fldChar w:fldCharType="separate"/>
    </w:r>
    <w:r>
      <w:rPr>
        <w:rStyle w:val="22"/>
      </w:rPr>
      <w:t>- 1 -</w:t>
    </w:r>
    <w:r>
      <w:rPr>
        <w:rStyle w:val="22"/>
      </w:rPr>
      <w:fldChar w:fldCharType="end"/>
    </w:r>
  </w:p>
  <w:p>
    <w:pPr>
      <w:pStyle w:val="21"/>
      <w:tabs>
        <w:tab w:val="center" w:pos="4153"/>
        <w:tab w:val="right" w:pos="8307"/>
      </w:tabs>
      <w:ind w:right="360" w:firstLine="360"/>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0BFA3492"/>
    <w:multiLevelType w:val="multilevel"/>
    <w:tmpl w:val="0BFA3492"/>
    <w:lvl w:ilvl="0">
      <w:start w:val="1"/>
      <w:numFmt w:val="japaneseCounting"/>
      <w:lvlRestart w:val="0"/>
      <w:lvlText w:val="第%1条"/>
      <w:lvlJc w:val="left"/>
      <w:pPr>
        <w:tabs>
          <w:tab w:val="num" w:pos="0"/>
        </w:tabs>
        <w:ind w:left="2402" w:hanging="1125"/>
      </w:pPr>
      <w:rPr>
        <w:rFonts w:hint="default"/>
        <w:b/>
        <w:color w:val="auto"/>
      </w:rPr>
    </w:lvl>
    <w:lvl w:ilvl="1">
      <w:start w:val="1"/>
      <w:numFmt w:val="lowerLetter"/>
      <w:lvlText w:val="%2)"/>
      <w:lvlJc w:val="left"/>
      <w:pPr>
        <w:tabs>
          <w:tab w:val="num" w:pos="0"/>
        </w:tabs>
        <w:ind w:left="1483" w:hanging="420"/>
      </w:pPr>
    </w:lvl>
    <w:lvl w:ilvl="2">
      <w:start w:val="1"/>
      <w:numFmt w:val="lowerRoman"/>
      <w:lvlText w:val="%3."/>
      <w:lvlJc w:val="right"/>
      <w:pPr>
        <w:tabs>
          <w:tab w:val="num" w:pos="0"/>
        </w:tabs>
        <w:ind w:left="1903" w:hanging="420"/>
      </w:pPr>
    </w:lvl>
    <w:lvl w:ilvl="3">
      <w:start w:val="1"/>
      <w:numFmt w:val="decimal"/>
      <w:lvlText w:val="%4."/>
      <w:lvlJc w:val="left"/>
      <w:pPr>
        <w:tabs>
          <w:tab w:val="num" w:pos="0"/>
        </w:tabs>
        <w:ind w:left="2323" w:hanging="420"/>
      </w:pPr>
    </w:lvl>
    <w:lvl w:ilvl="4">
      <w:start w:val="1"/>
      <w:numFmt w:val="lowerLetter"/>
      <w:lvlText w:val="%5)"/>
      <w:lvlJc w:val="left"/>
      <w:pPr>
        <w:tabs>
          <w:tab w:val="num" w:pos="0"/>
        </w:tabs>
        <w:ind w:left="2743" w:hanging="420"/>
      </w:pPr>
    </w:lvl>
    <w:lvl w:ilvl="5">
      <w:start w:val="1"/>
      <w:numFmt w:val="lowerRoman"/>
      <w:lvlText w:val="%6."/>
      <w:lvlJc w:val="right"/>
      <w:pPr>
        <w:tabs>
          <w:tab w:val="num" w:pos="0"/>
        </w:tabs>
        <w:ind w:left="3163" w:hanging="420"/>
      </w:pPr>
    </w:lvl>
    <w:lvl w:ilvl="6">
      <w:start w:val="1"/>
      <w:numFmt w:val="decimal"/>
      <w:lvlText w:val="%7."/>
      <w:lvlJc w:val="left"/>
      <w:pPr>
        <w:tabs>
          <w:tab w:val="num" w:pos="0"/>
        </w:tabs>
        <w:ind w:left="3583" w:hanging="420"/>
      </w:pPr>
    </w:lvl>
    <w:lvl w:ilvl="7">
      <w:start w:val="1"/>
      <w:numFmt w:val="lowerLetter"/>
      <w:lvlText w:val="%8)"/>
      <w:lvlJc w:val="left"/>
      <w:pPr>
        <w:tabs>
          <w:tab w:val="num" w:pos="0"/>
        </w:tabs>
        <w:ind w:left="4003" w:hanging="420"/>
      </w:pPr>
    </w:lvl>
    <w:lvl w:ilvl="8">
      <w:start w:val="1"/>
      <w:numFmt w:val="lowerRoman"/>
      <w:lvlText w:val="%9."/>
      <w:lvlJc w:val="right"/>
      <w:pPr>
        <w:tabs>
          <w:tab w:val="num" w:pos="0"/>
        </w:tabs>
        <w:ind w:left="4423" w:hanging="420"/>
      </w:pPr>
    </w:lvl>
  </w:abstractNum>
  <w:abstractNum w:abstractNumId="1">
    <w:nsid w:val="585A2BDC"/>
    <w:multiLevelType w:val="multilevel"/>
    <w:tmpl w:val="585A2BDC"/>
    <w:lvl w:ilvl="0">
      <w:start w:val="1"/>
      <w:numFmt w:val="japaneseCounting"/>
      <w:lvlRestart w:val="0"/>
      <w:lvlText w:val="（%1）"/>
      <w:lvlJc w:val="left"/>
      <w:pPr>
        <w:tabs>
          <w:tab w:val="num" w:pos="0"/>
        </w:tabs>
        <w:ind w:left="1720" w:hanging="1080"/>
      </w:pPr>
      <w:rPr>
        <w:rFonts w:ascii="Times New Roman" w:hAnsi="Times New Roman" w:eastAsia="仿宋_GB2312" w:hint="default"/>
      </w:r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abstractNum w:abstractNumId="2">
    <w:nsid w:val="535E7BAC"/>
    <w:multiLevelType w:val="multilevel"/>
    <w:tmpl w:val="535E7BAC"/>
    <w:lvl w:ilvl="0">
      <w:start w:val="1"/>
      <w:numFmt w:val="japaneseCounting"/>
      <w:lvlRestart w:val="0"/>
      <w:lvlText w:val="（%1）"/>
      <w:lvlJc w:val="left"/>
      <w:pPr>
        <w:tabs>
          <w:tab w:val="num" w:pos="0"/>
        </w:tabs>
        <w:ind w:left="2320" w:hanging="1680"/>
      </w:pPr>
      <w:rPr>
        <w:rFonts w:hint="default"/>
      </w:r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toc 4"/>
    <w:basedOn w:val="0"/>
    <w:autoRedefine/>
    <w:next w:val="0"/>
    <w:pPr>
      <w:ind w:left="1260"/>
    </w:pPr>
  </w:style>
  <w:style w:type="paragraph" w:styleId="16">
    <w:name w:val="Normal (Web)"/>
    <w:pPr>
      <w:widowControl w:val="0"/>
      <w:jc w:val="left"/>
    </w:pPr>
    <w:rPr>
      <w:rFonts w:ascii="Calibri" w:eastAsia="宋体" w:cs="Times New Roman" w:hAnsi="Calibri"/>
      <w:kern w:val="0"/>
      <w:sz w:val="24"/>
      <w:szCs w:val="24"/>
      <w:lang w:val="en-US" w:eastAsia="zh-CN" w:bidi="ar-SA"/>
    </w:rPr>
  </w:style>
  <w:style w:type="paragraph" w:customStyle="1" w:styleId="17">
    <w:name w:val="标题设置"/>
    <w:next w:val="0"/>
    <w:pPr>
      <w:widowControl w:val="0"/>
      <w:spacing w:before="240" w:after="60"/>
      <w:jc w:val="center"/>
      <w:outlineLvl w:val="0"/>
    </w:pPr>
    <w:rPr>
      <w:rFonts w:ascii="Cambria" w:eastAsia="华文中宋" w:cs="Times New Roman" w:hAnsi="Cambria"/>
      <w:b/>
      <w:bCs/>
      <w:kern w:val="2"/>
      <w:sz w:val="36"/>
      <w:szCs w:val="32"/>
      <w:lang w:val="en-US" w:eastAsia="zh-CN" w:bidi="ar-SA"/>
    </w:rPr>
  </w:style>
  <w:style w:type="paragraph" w:customStyle="1" w:styleId="18">
    <w:name w:val="List Paragraph"/>
    <w:next w:val="15"/>
    <w:pPr>
      <w:widowControl w:val="0"/>
      <w:ind w:firstLineChars="200" w:firstLine="200"/>
      <w:jc w:val="both"/>
    </w:pPr>
    <w:rPr>
      <w:rFonts w:ascii="Calibri" w:eastAsia="宋体" w:cs="Times New Roman" w:hAnsi="Calibri"/>
      <w:kern w:val="2"/>
      <w:sz w:val="21"/>
      <w:szCs w:val="22"/>
      <w:lang w:val="en-US" w:eastAsia="zh-CN" w:bidi="ar-SA"/>
    </w:rPr>
  </w:style>
  <w:style w:type="paragraph" w:styleId="19">
    <w:name w:val="index 7"/>
    <w:basedOn w:val="0"/>
    <w:autoRedefine/>
    <w:next w:val="0"/>
    <w:pPr>
      <w:ind w:left="2520"/>
    </w:pPr>
  </w:style>
  <w:style w:type="paragraph" w:styleId="20">
    <w:name w:val="header"/>
    <w:basedOn w:val="0"/>
    <w:pPr>
      <w:pBdr>
        <w:bottom w:val="single" w:sz="6" w:space="1" w:color="auto"/>
      </w:pBdr>
      <w:tabs>
        <w:tab w:val="center" w:pos="4153"/>
        <w:tab w:val="right" w:pos="8307"/>
      </w:tabs>
      <w:snapToGrid w:val="0"/>
      <w:jc w:val="center"/>
    </w:pPr>
    <w:rPr>
      <w:sz w:val="18"/>
    </w:rPr>
  </w:style>
  <w:style w:type="paragraph" w:styleId="21">
    <w:name w:val="footer"/>
    <w:basedOn w:val="0"/>
    <w:pPr>
      <w:tabs>
        <w:tab w:val="center" w:pos="4153"/>
        <w:tab w:val="right" w:pos="8307"/>
      </w:tabs>
      <w:snapToGrid w:val="0"/>
      <w:jc w:val="left"/>
    </w:pPr>
    <w:rPr>
      <w:sz w:val="18"/>
    </w:rPr>
  </w:style>
  <w:style w:type="character" w:styleId="22">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87</TotalTime>
  <Application>Yozo_Office</Application>
  <Pages>4</Pages>
  <Words>1690</Words>
  <Characters>1711</Characters>
  <Lines>80</Lines>
  <Paragraphs>30</Paragraphs>
  <CharactersWithSpaces>1755</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User</cp:lastModifiedBy>
  <cp:revision>1</cp:revision>
  <cp:lastPrinted>2020-11-17T03:51:35Z</cp:lastPrinted>
  <dcterms:created xsi:type="dcterms:W3CDTF">2020-11-04T01:02:28Z</dcterms:created>
  <dcterms:modified xsi:type="dcterms:W3CDTF">2020-11-17T03:52:50Z</dcterms:modified>
</cp:coreProperties>
</file>