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b/>
          <w:bCs/>
          <w:sz w:val="44"/>
          <w:szCs w:val="44"/>
        </w:rPr>
      </w:pPr>
    </w:p>
    <w:p>
      <w:pPr>
        <w:jc w:val="center"/>
        <w:rPr>
          <w:b/>
          <w:bCs/>
          <w:sz w:val="44"/>
          <w:szCs w:val="44"/>
        </w:rPr>
      </w:pPr>
      <w:r>
        <w:rPr>
          <w:b/>
          <w:bCs/>
          <w:sz w:val="44"/>
          <w:szCs w:val="44"/>
        </w:rPr>
        <w:t>不合格报告说明</w:t>
      </w:r>
    </w:p>
    <w:p>
      <w:pPr>
        <w:jc w:val="center"/>
        <w:rPr>
          <w:b/>
          <w:bCs/>
          <w:sz w:val="44"/>
          <w:szCs w:val="44"/>
        </w:rPr>
      </w:pPr>
    </w:p>
    <w:p>
      <w:pPr>
        <w:rPr>
          <w:rFonts w:hint="eastAsia"/>
          <w:sz w:val="24"/>
        </w:rPr>
      </w:pPr>
      <w:r>
        <w:rPr>
          <w:rFonts w:hint="eastAsia"/>
          <w:sz w:val="24"/>
        </w:rPr>
        <w:t>检验报告书编号：JQT25FC03217</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szCs w:val="21"/>
              </w:rPr>
            </w:pPr>
            <w:r>
              <w:rPr>
                <w:rFonts w:hint="eastAsia"/>
                <w:szCs w:val="21"/>
              </w:rPr>
              <w:t>克百威</w:t>
            </w:r>
          </w:p>
        </w:tc>
        <w:tc>
          <w:tcPr>
            <w:tcW w:w="1418" w:type="dxa"/>
            <w:vAlign w:val="center"/>
          </w:tcPr>
          <w:p>
            <w:pPr>
              <w:jc w:val="center"/>
              <w:rPr>
                <w:rFonts w:hint="eastAsia" w:eastAsia="宋体"/>
                <w:szCs w:val="21"/>
                <w:lang w:val="en-US" w:eastAsia="zh-CN"/>
              </w:rPr>
            </w:pPr>
            <w:r>
              <w:rPr>
                <w:rFonts w:hint="eastAsia"/>
                <w:szCs w:val="21"/>
                <w:lang w:val="en-US" w:eastAsia="zh-CN"/>
              </w:rPr>
              <w:t>农药残留</w:t>
            </w:r>
          </w:p>
        </w:tc>
        <w:tc>
          <w:tcPr>
            <w:tcW w:w="1842" w:type="dxa"/>
            <w:vAlign w:val="center"/>
          </w:tcPr>
          <w:p>
            <w:pPr>
              <w:jc w:val="center"/>
              <w:rPr>
                <w:rFonts w:hint="eastAsia"/>
                <w:szCs w:val="21"/>
                <w:lang w:val="en-US" w:eastAsia="zh-CN"/>
              </w:rPr>
            </w:pPr>
            <w:r>
              <w:rPr>
                <w:rFonts w:hint="eastAsia"/>
                <w:szCs w:val="21"/>
                <w:lang w:val="en-US" w:eastAsia="zh-CN"/>
              </w:rPr>
              <w:t>0.16mg/kg</w:t>
            </w:r>
          </w:p>
        </w:tc>
        <w:tc>
          <w:tcPr>
            <w:tcW w:w="1843" w:type="dxa"/>
            <w:vAlign w:val="center"/>
          </w:tcPr>
          <w:p>
            <w:pPr>
              <w:jc w:val="center"/>
              <w:rPr>
                <w:rFonts w:hint="eastAsia"/>
                <w:szCs w:val="21"/>
                <w:lang w:val="en-US" w:eastAsia="zh-CN"/>
              </w:rPr>
            </w:pPr>
            <w:r>
              <w:rPr>
                <w:rFonts w:hint="eastAsia"/>
                <w:szCs w:val="21"/>
                <w:lang w:val="en-US" w:eastAsia="zh-CN"/>
              </w:rPr>
              <w:t>≤0.02mg/kg</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此次抽检不合格的原因可能是农户为了快速控制病害，加大了用药量，未遵守正确的采摘间隔期规定，即在施药后未等待足够的时间让农药残留量降低到安全范围内便进行了采摘和销售。</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克百威是一种广谱、高效、低残留、高毒性的氨基甲酸酯类杀虫、杀螨、杀线虫剂，具有内吸、触杀、胃毒等作用，并有一定的杀卵作用。按中国农药毒性分级标准，克百威为高毒农药，不能用在蔬菜和果树上。摄入克百威超标的食品，可能引起头昏、乏力、多汗、呕吐、视力模糊等症状。</w:t>
            </w:r>
          </w:p>
        </w:tc>
        <w:tc>
          <w:tcPr>
            <w:tcW w:w="1106" w:type="dxa"/>
            <w:vAlign w:val="center"/>
          </w:tcPr>
          <w:p>
            <w:pPr>
              <w:jc w:val="center"/>
              <w:rPr>
                <w:rFonts w:hint="eastAsia"/>
                <w:szCs w:val="21"/>
              </w:rPr>
            </w:pPr>
            <w:r>
              <w:rPr>
                <w:rFonts w:hint="eastAsia"/>
                <w:szCs w:val="21"/>
              </w:rPr>
              <w:t>食用农产品（</w:t>
            </w:r>
            <w:r>
              <w:rPr>
                <w:rFonts w:hint="eastAsia"/>
                <w:szCs w:val="21"/>
                <w:lang w:val="en-US" w:eastAsia="zh-CN"/>
              </w:rPr>
              <w:t>韭菜</w:t>
            </w:r>
            <w:r>
              <w:rPr>
                <w:rFonts w:hint="eastAsia"/>
                <w:szCs w:val="21"/>
              </w:rPr>
              <w:t>）</w:t>
            </w:r>
          </w:p>
        </w:tc>
      </w:tr>
    </w:tbl>
    <w:p>
      <w:pPr>
        <w:rPr>
          <w:b/>
          <w:bCs/>
          <w:sz w:val="44"/>
          <w:szCs w:val="44"/>
        </w:rPr>
      </w:pPr>
      <w:r>
        <w:rPr>
          <w:b/>
          <w:bCs/>
          <w:sz w:val="44"/>
          <w:szCs w:val="44"/>
        </w:rPr>
        <w:br w:type="page"/>
      </w:r>
    </w:p>
    <w:p>
      <w:pPr>
        <w:jc w:val="both"/>
        <w:rPr>
          <w:b/>
          <w:bCs/>
          <w:sz w:val="44"/>
          <w:szCs w:val="44"/>
        </w:rPr>
      </w:pPr>
    </w:p>
    <w:p>
      <w:pPr>
        <w:jc w:val="center"/>
        <w:rPr>
          <w:b/>
          <w:bCs/>
          <w:sz w:val="44"/>
          <w:szCs w:val="44"/>
        </w:rPr>
      </w:pPr>
      <w:r>
        <w:rPr>
          <w:b/>
          <w:bCs/>
          <w:sz w:val="44"/>
          <w:szCs w:val="44"/>
        </w:rPr>
        <w:t>不合格报告说明</w:t>
      </w:r>
    </w:p>
    <w:p>
      <w:pPr>
        <w:jc w:val="center"/>
        <w:rPr>
          <w:b/>
          <w:bCs/>
          <w:sz w:val="44"/>
          <w:szCs w:val="44"/>
        </w:rPr>
      </w:pPr>
    </w:p>
    <w:p>
      <w:pPr>
        <w:rPr>
          <w:rFonts w:hint="eastAsia"/>
          <w:sz w:val="24"/>
        </w:rPr>
      </w:pPr>
      <w:r>
        <w:rPr>
          <w:rFonts w:hint="eastAsia"/>
          <w:sz w:val="24"/>
        </w:rPr>
        <w:t>检验报告书编号：JQT25FC07780</w:t>
      </w:r>
      <w:r>
        <w:rPr>
          <w:rFonts w:hint="eastAsia"/>
          <w:sz w:val="24"/>
        </w:rPr>
        <w:tab/>
      </w:r>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842"/>
        <w:gridCol w:w="1843"/>
        <w:gridCol w:w="3260"/>
        <w:gridCol w:w="332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84" w:type="dxa"/>
            <w:vAlign w:val="center"/>
          </w:tcPr>
          <w:p>
            <w:pPr>
              <w:spacing w:line="360" w:lineRule="exact"/>
              <w:jc w:val="center"/>
              <w:rPr>
                <w:sz w:val="24"/>
              </w:rPr>
            </w:pPr>
            <w:r>
              <w:rPr>
                <w:rFonts w:hint="eastAsia"/>
                <w:sz w:val="24"/>
              </w:rPr>
              <w:t>不合格</w:t>
            </w:r>
          </w:p>
          <w:p>
            <w:pPr>
              <w:spacing w:line="360" w:lineRule="exact"/>
              <w:jc w:val="center"/>
              <w:rPr>
                <w:sz w:val="24"/>
              </w:rPr>
            </w:pPr>
            <w:r>
              <w:rPr>
                <w:rFonts w:hint="eastAsia"/>
                <w:sz w:val="24"/>
              </w:rPr>
              <w:t>项目</w:t>
            </w:r>
          </w:p>
        </w:tc>
        <w:tc>
          <w:tcPr>
            <w:tcW w:w="1418" w:type="dxa"/>
            <w:vAlign w:val="center"/>
          </w:tcPr>
          <w:p>
            <w:pPr>
              <w:spacing w:line="360" w:lineRule="exact"/>
              <w:jc w:val="center"/>
              <w:rPr>
                <w:sz w:val="24"/>
              </w:rPr>
            </w:pPr>
            <w:r>
              <w:rPr>
                <w:rFonts w:hint="eastAsia"/>
                <w:sz w:val="24"/>
              </w:rPr>
              <w:t>不合格项目所属</w:t>
            </w:r>
          </w:p>
          <w:p>
            <w:pPr>
              <w:spacing w:line="360" w:lineRule="exact"/>
              <w:jc w:val="center"/>
              <w:rPr>
                <w:sz w:val="24"/>
              </w:rPr>
            </w:pPr>
            <w:r>
              <w:rPr>
                <w:rFonts w:hint="eastAsia"/>
                <w:sz w:val="24"/>
              </w:rPr>
              <w:t>指标</w:t>
            </w:r>
          </w:p>
        </w:tc>
        <w:tc>
          <w:tcPr>
            <w:tcW w:w="1842" w:type="dxa"/>
            <w:vAlign w:val="center"/>
          </w:tcPr>
          <w:p>
            <w:pPr>
              <w:spacing w:line="360" w:lineRule="exact"/>
              <w:jc w:val="center"/>
              <w:rPr>
                <w:sz w:val="24"/>
              </w:rPr>
            </w:pPr>
            <w:r>
              <w:rPr>
                <w:rFonts w:hint="eastAsia"/>
                <w:sz w:val="24"/>
              </w:rPr>
              <w:t>检验</w:t>
            </w:r>
          </w:p>
          <w:p>
            <w:pPr>
              <w:spacing w:line="360" w:lineRule="exact"/>
              <w:jc w:val="center"/>
              <w:rPr>
                <w:sz w:val="24"/>
              </w:rPr>
            </w:pPr>
            <w:r>
              <w:rPr>
                <w:rFonts w:hint="eastAsia"/>
                <w:sz w:val="24"/>
              </w:rPr>
              <w:t>结果</w:t>
            </w:r>
          </w:p>
        </w:tc>
        <w:tc>
          <w:tcPr>
            <w:tcW w:w="1843" w:type="dxa"/>
            <w:vAlign w:val="center"/>
          </w:tcPr>
          <w:p>
            <w:pPr>
              <w:spacing w:line="360" w:lineRule="exact"/>
              <w:jc w:val="center"/>
              <w:rPr>
                <w:sz w:val="24"/>
              </w:rPr>
            </w:pPr>
            <w:r>
              <w:rPr>
                <w:rFonts w:hint="eastAsia"/>
                <w:sz w:val="24"/>
              </w:rPr>
              <w:t>标准值</w:t>
            </w:r>
          </w:p>
          <w:p>
            <w:pPr>
              <w:spacing w:line="360" w:lineRule="exact"/>
              <w:jc w:val="center"/>
              <w:rPr>
                <w:sz w:val="24"/>
              </w:rPr>
            </w:pPr>
            <w:r>
              <w:rPr>
                <w:rFonts w:hint="eastAsia"/>
                <w:sz w:val="24"/>
              </w:rPr>
              <w:t>要求</w:t>
            </w:r>
          </w:p>
        </w:tc>
        <w:tc>
          <w:tcPr>
            <w:tcW w:w="3260" w:type="dxa"/>
            <w:vAlign w:val="center"/>
          </w:tcPr>
          <w:p>
            <w:pPr>
              <w:jc w:val="center"/>
              <w:rPr>
                <w:sz w:val="24"/>
              </w:rPr>
            </w:pPr>
            <w:r>
              <w:rPr>
                <w:rFonts w:hint="eastAsia"/>
                <w:sz w:val="24"/>
              </w:rPr>
              <w:t>不合格原因分析</w:t>
            </w:r>
          </w:p>
        </w:tc>
        <w:tc>
          <w:tcPr>
            <w:tcW w:w="3321" w:type="dxa"/>
            <w:vAlign w:val="center"/>
          </w:tcPr>
          <w:p>
            <w:pPr>
              <w:jc w:val="center"/>
              <w:rPr>
                <w:sz w:val="24"/>
              </w:rPr>
            </w:pPr>
            <w:r>
              <w:rPr>
                <w:rFonts w:hint="eastAsia"/>
                <w:sz w:val="24"/>
              </w:rPr>
              <w:t>可能引起的危害</w:t>
            </w:r>
          </w:p>
        </w:tc>
        <w:tc>
          <w:tcPr>
            <w:tcW w:w="1106"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384" w:type="dxa"/>
            <w:vAlign w:val="center"/>
          </w:tcPr>
          <w:p>
            <w:pPr>
              <w:jc w:val="center"/>
              <w:rPr>
                <w:szCs w:val="21"/>
              </w:rPr>
            </w:pPr>
            <w:r>
              <w:rPr>
                <w:rFonts w:hint="eastAsia"/>
                <w:szCs w:val="21"/>
              </w:rPr>
              <w:t>吡虫啉</w:t>
            </w:r>
          </w:p>
        </w:tc>
        <w:tc>
          <w:tcPr>
            <w:tcW w:w="1418" w:type="dxa"/>
            <w:vAlign w:val="center"/>
          </w:tcPr>
          <w:p>
            <w:pPr>
              <w:jc w:val="center"/>
              <w:rPr>
                <w:rFonts w:hint="eastAsia" w:eastAsia="宋体"/>
                <w:szCs w:val="21"/>
                <w:lang w:val="en-US" w:eastAsia="zh-CN"/>
              </w:rPr>
            </w:pPr>
            <w:r>
              <w:rPr>
                <w:rFonts w:hint="eastAsia"/>
                <w:szCs w:val="21"/>
                <w:lang w:val="en-US" w:eastAsia="zh-CN"/>
              </w:rPr>
              <w:t>农药残留</w:t>
            </w:r>
          </w:p>
        </w:tc>
        <w:tc>
          <w:tcPr>
            <w:tcW w:w="1842" w:type="dxa"/>
            <w:vAlign w:val="center"/>
          </w:tcPr>
          <w:p>
            <w:pPr>
              <w:jc w:val="center"/>
              <w:rPr>
                <w:rFonts w:hint="eastAsia"/>
                <w:szCs w:val="21"/>
                <w:lang w:val="en-US" w:eastAsia="zh-CN"/>
              </w:rPr>
            </w:pPr>
            <w:r>
              <w:rPr>
                <w:rFonts w:hint="eastAsia"/>
                <w:szCs w:val="21"/>
                <w:lang w:val="en-US" w:eastAsia="zh-CN"/>
              </w:rPr>
              <w:t>0.76mg/kg</w:t>
            </w:r>
          </w:p>
        </w:tc>
        <w:tc>
          <w:tcPr>
            <w:tcW w:w="1843" w:type="dxa"/>
            <w:vAlign w:val="center"/>
          </w:tcPr>
          <w:p>
            <w:pPr>
              <w:jc w:val="center"/>
              <w:rPr>
                <w:rFonts w:hint="eastAsia"/>
                <w:szCs w:val="21"/>
                <w:lang w:val="en-US" w:eastAsia="zh-CN"/>
              </w:rPr>
            </w:pPr>
            <w:r>
              <w:rPr>
                <w:rFonts w:hint="eastAsia"/>
                <w:szCs w:val="21"/>
                <w:lang w:val="en-US" w:eastAsia="zh-CN"/>
              </w:rPr>
              <w:t>≤0.5mg/kg</w:t>
            </w:r>
          </w:p>
        </w:tc>
        <w:tc>
          <w:tcPr>
            <w:tcW w:w="3260"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吡虫啉超标的原因，可能是为快速控制虫害加大用药量，或未遵守采摘间隔期规定，致使上市销售时产品中的药物残留量未降解至标准限量以下。</w:t>
            </w:r>
          </w:p>
        </w:tc>
        <w:tc>
          <w:tcPr>
            <w:tcW w:w="3321" w:type="dxa"/>
            <w:vAlign w:val="center"/>
          </w:tcPr>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szCs w:val="21"/>
                <w:lang w:eastAsia="zh-CN"/>
              </w:rPr>
            </w:pPr>
            <w:r>
              <w:rPr>
                <w:rFonts w:hint="eastAsia"/>
                <w:szCs w:val="21"/>
                <w:lang w:eastAsia="zh-CN"/>
              </w:rPr>
              <w:t>吡虫啉属氯化烟酰类杀虫剂，具有广谱、高效、低毒等特点。长期食用吡虫啉超标的食品，可能对人体产生危害。</w:t>
            </w:r>
          </w:p>
        </w:tc>
        <w:tc>
          <w:tcPr>
            <w:tcW w:w="1106" w:type="dxa"/>
            <w:vAlign w:val="center"/>
          </w:tcPr>
          <w:p>
            <w:pPr>
              <w:jc w:val="center"/>
              <w:rPr>
                <w:rFonts w:hint="eastAsia"/>
                <w:szCs w:val="21"/>
              </w:rPr>
            </w:pPr>
            <w:r>
              <w:rPr>
                <w:rFonts w:hint="eastAsia"/>
                <w:szCs w:val="21"/>
              </w:rPr>
              <w:t>茶叶及相关制品（</w:t>
            </w:r>
            <w:r>
              <w:rPr>
                <w:rFonts w:hint="eastAsia"/>
                <w:szCs w:val="21"/>
                <w:lang w:val="en-US" w:eastAsia="zh-CN"/>
              </w:rPr>
              <w:t>绿茶、红茶、乌龙茶、黄茶、白茶、黑茶、花茶、袋泡茶、紧压茶</w:t>
            </w:r>
            <w:r>
              <w:rPr>
                <w:rFonts w:hint="eastAsia"/>
                <w:szCs w:val="21"/>
              </w:rPr>
              <w:t>）</w:t>
            </w:r>
          </w:p>
        </w:tc>
      </w:tr>
    </w:tbl>
    <w:p>
      <w:pPr>
        <w:jc w:val="center"/>
        <w:rPr>
          <w:b/>
          <w:bCs/>
          <w:sz w:val="44"/>
          <w:szCs w:val="44"/>
        </w:rPr>
      </w:pPr>
      <w:bookmarkStart w:id="0" w:name="_GoBack"/>
      <w:bookmarkEnd w:id="0"/>
    </w:p>
    <w:p>
      <w:pPr>
        <w:rPr>
          <w:b/>
          <w:bCs/>
          <w:sz w:val="44"/>
          <w:szCs w:val="44"/>
        </w:rPr>
      </w:pPr>
    </w:p>
    <w:sectPr>
      <w:pgSz w:w="16838" w:h="11906" w:orient="landscape"/>
      <w:pgMar w:top="1247" w:right="1440" w:bottom="124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NWNmM2E3YjRjZDI2YjM2ZmQ2ZDE4ZDhhMzM5MDgifQ=="/>
  </w:docVars>
  <w:rsids>
    <w:rsidRoot w:val="00172A27"/>
    <w:rsid w:val="00004BF0"/>
    <w:rsid w:val="00021E1E"/>
    <w:rsid w:val="0004452C"/>
    <w:rsid w:val="00054D9F"/>
    <w:rsid w:val="00113C00"/>
    <w:rsid w:val="0015253B"/>
    <w:rsid w:val="00172A27"/>
    <w:rsid w:val="001F1D15"/>
    <w:rsid w:val="00213700"/>
    <w:rsid w:val="00277263"/>
    <w:rsid w:val="003419A7"/>
    <w:rsid w:val="003C3CDC"/>
    <w:rsid w:val="003F3B16"/>
    <w:rsid w:val="0048297A"/>
    <w:rsid w:val="006E19FA"/>
    <w:rsid w:val="0076439A"/>
    <w:rsid w:val="0080192F"/>
    <w:rsid w:val="00867AF8"/>
    <w:rsid w:val="008A508F"/>
    <w:rsid w:val="009074DA"/>
    <w:rsid w:val="009A3E14"/>
    <w:rsid w:val="00A0105D"/>
    <w:rsid w:val="00A4460A"/>
    <w:rsid w:val="00A63396"/>
    <w:rsid w:val="00A63B4A"/>
    <w:rsid w:val="00AD3134"/>
    <w:rsid w:val="00B1689F"/>
    <w:rsid w:val="00B50016"/>
    <w:rsid w:val="00CA74C0"/>
    <w:rsid w:val="00D661E2"/>
    <w:rsid w:val="00D956C6"/>
    <w:rsid w:val="00DC3F25"/>
    <w:rsid w:val="00E15386"/>
    <w:rsid w:val="00E60345"/>
    <w:rsid w:val="00E7600A"/>
    <w:rsid w:val="029605BF"/>
    <w:rsid w:val="02F83936"/>
    <w:rsid w:val="03767EB5"/>
    <w:rsid w:val="040C25C7"/>
    <w:rsid w:val="04FC43EA"/>
    <w:rsid w:val="056063A0"/>
    <w:rsid w:val="05950139"/>
    <w:rsid w:val="05F57940"/>
    <w:rsid w:val="06764C22"/>
    <w:rsid w:val="06DD0EB4"/>
    <w:rsid w:val="070D7EC5"/>
    <w:rsid w:val="07BA6423"/>
    <w:rsid w:val="0807527E"/>
    <w:rsid w:val="09290DF8"/>
    <w:rsid w:val="09B74ED8"/>
    <w:rsid w:val="0AA60A13"/>
    <w:rsid w:val="0B7E72CA"/>
    <w:rsid w:val="0EA5395E"/>
    <w:rsid w:val="0FA6540C"/>
    <w:rsid w:val="11693AF3"/>
    <w:rsid w:val="12505D75"/>
    <w:rsid w:val="13DD333D"/>
    <w:rsid w:val="14FC2BBF"/>
    <w:rsid w:val="15490981"/>
    <w:rsid w:val="17290724"/>
    <w:rsid w:val="186B589E"/>
    <w:rsid w:val="190D1B69"/>
    <w:rsid w:val="199E12F3"/>
    <w:rsid w:val="19EA74AD"/>
    <w:rsid w:val="1B023DCB"/>
    <w:rsid w:val="1B917B2A"/>
    <w:rsid w:val="1D0D1692"/>
    <w:rsid w:val="1D51161C"/>
    <w:rsid w:val="1DD7559C"/>
    <w:rsid w:val="1E0669AA"/>
    <w:rsid w:val="1E867740"/>
    <w:rsid w:val="1F992259"/>
    <w:rsid w:val="20273B9D"/>
    <w:rsid w:val="204D27B0"/>
    <w:rsid w:val="20F12F9F"/>
    <w:rsid w:val="22C56520"/>
    <w:rsid w:val="22E91FFA"/>
    <w:rsid w:val="23137B2B"/>
    <w:rsid w:val="238D507B"/>
    <w:rsid w:val="23D34A58"/>
    <w:rsid w:val="2421689B"/>
    <w:rsid w:val="249C4A5A"/>
    <w:rsid w:val="24D23D68"/>
    <w:rsid w:val="24F3691F"/>
    <w:rsid w:val="25060276"/>
    <w:rsid w:val="256E4199"/>
    <w:rsid w:val="26B8181C"/>
    <w:rsid w:val="29593EAF"/>
    <w:rsid w:val="298F4F7D"/>
    <w:rsid w:val="299F78B6"/>
    <w:rsid w:val="2A3034C7"/>
    <w:rsid w:val="2E0F4702"/>
    <w:rsid w:val="2EAA5A19"/>
    <w:rsid w:val="2F2A282C"/>
    <w:rsid w:val="2FD3122D"/>
    <w:rsid w:val="30204B81"/>
    <w:rsid w:val="307F7146"/>
    <w:rsid w:val="30FB21C7"/>
    <w:rsid w:val="332E5837"/>
    <w:rsid w:val="335A125B"/>
    <w:rsid w:val="33B46B27"/>
    <w:rsid w:val="38184A46"/>
    <w:rsid w:val="39036BAD"/>
    <w:rsid w:val="398A37EC"/>
    <w:rsid w:val="398C12A7"/>
    <w:rsid w:val="39E62997"/>
    <w:rsid w:val="3B532C89"/>
    <w:rsid w:val="3BAD62FC"/>
    <w:rsid w:val="3C180293"/>
    <w:rsid w:val="3C81295B"/>
    <w:rsid w:val="3CF75781"/>
    <w:rsid w:val="3D1B3C28"/>
    <w:rsid w:val="3E480050"/>
    <w:rsid w:val="3F6956C4"/>
    <w:rsid w:val="406B52E0"/>
    <w:rsid w:val="41AC322C"/>
    <w:rsid w:val="420336C3"/>
    <w:rsid w:val="423749B1"/>
    <w:rsid w:val="425D7EB7"/>
    <w:rsid w:val="42664C0F"/>
    <w:rsid w:val="44FF0DB1"/>
    <w:rsid w:val="45594B71"/>
    <w:rsid w:val="45EE5199"/>
    <w:rsid w:val="46C83575"/>
    <w:rsid w:val="47E524E0"/>
    <w:rsid w:val="48795182"/>
    <w:rsid w:val="49564BCC"/>
    <w:rsid w:val="496008C3"/>
    <w:rsid w:val="4A527FA5"/>
    <w:rsid w:val="4AD56FE2"/>
    <w:rsid w:val="4B062A48"/>
    <w:rsid w:val="4B9235C3"/>
    <w:rsid w:val="4BB62215"/>
    <w:rsid w:val="4CE16790"/>
    <w:rsid w:val="4EA875E2"/>
    <w:rsid w:val="4EB9395C"/>
    <w:rsid w:val="50062548"/>
    <w:rsid w:val="513E2C61"/>
    <w:rsid w:val="52280AC9"/>
    <w:rsid w:val="52B777E5"/>
    <w:rsid w:val="52DB4680"/>
    <w:rsid w:val="539B303F"/>
    <w:rsid w:val="54486465"/>
    <w:rsid w:val="55B014D8"/>
    <w:rsid w:val="564822B6"/>
    <w:rsid w:val="576C7EE5"/>
    <w:rsid w:val="57F64A30"/>
    <w:rsid w:val="59660A46"/>
    <w:rsid w:val="5A101121"/>
    <w:rsid w:val="5A9F45C6"/>
    <w:rsid w:val="5BF47C6E"/>
    <w:rsid w:val="5C3C2CDA"/>
    <w:rsid w:val="5D255365"/>
    <w:rsid w:val="5EED6EC6"/>
    <w:rsid w:val="5F4C206F"/>
    <w:rsid w:val="5F812FDF"/>
    <w:rsid w:val="5FA74252"/>
    <w:rsid w:val="5FF17B2D"/>
    <w:rsid w:val="61E57855"/>
    <w:rsid w:val="62193DE9"/>
    <w:rsid w:val="62CA2486"/>
    <w:rsid w:val="63222DBD"/>
    <w:rsid w:val="63853103"/>
    <w:rsid w:val="63E61464"/>
    <w:rsid w:val="640C5BED"/>
    <w:rsid w:val="6468612F"/>
    <w:rsid w:val="64761B65"/>
    <w:rsid w:val="661243AA"/>
    <w:rsid w:val="66AE0A74"/>
    <w:rsid w:val="67CB235A"/>
    <w:rsid w:val="68572B2F"/>
    <w:rsid w:val="68DD61AE"/>
    <w:rsid w:val="6900625C"/>
    <w:rsid w:val="69540E4B"/>
    <w:rsid w:val="69AE49D0"/>
    <w:rsid w:val="6C5671C2"/>
    <w:rsid w:val="6C575044"/>
    <w:rsid w:val="6D8229C6"/>
    <w:rsid w:val="6E081074"/>
    <w:rsid w:val="70370AA1"/>
    <w:rsid w:val="70C7355E"/>
    <w:rsid w:val="71461992"/>
    <w:rsid w:val="714E2468"/>
    <w:rsid w:val="71685DAD"/>
    <w:rsid w:val="72555796"/>
    <w:rsid w:val="72CE347B"/>
    <w:rsid w:val="736A1485"/>
    <w:rsid w:val="73910128"/>
    <w:rsid w:val="73A3787F"/>
    <w:rsid w:val="74474A79"/>
    <w:rsid w:val="759C30AF"/>
    <w:rsid w:val="7647498F"/>
    <w:rsid w:val="774D3407"/>
    <w:rsid w:val="77B43AFA"/>
    <w:rsid w:val="78306968"/>
    <w:rsid w:val="79754E2A"/>
    <w:rsid w:val="79A1746A"/>
    <w:rsid w:val="79A75FA3"/>
    <w:rsid w:val="7A8239E3"/>
    <w:rsid w:val="7A8A1038"/>
    <w:rsid w:val="7ABB3FBA"/>
    <w:rsid w:val="7B12305E"/>
    <w:rsid w:val="7B307D05"/>
    <w:rsid w:val="7B3A4FF7"/>
    <w:rsid w:val="7B660DD5"/>
    <w:rsid w:val="7C3E4761"/>
    <w:rsid w:val="7CBD7BEF"/>
    <w:rsid w:val="7CF5015E"/>
    <w:rsid w:val="7DBC330C"/>
    <w:rsid w:val="7E0C0440"/>
    <w:rsid w:val="7E0C5029"/>
    <w:rsid w:val="7E5E47BF"/>
    <w:rsid w:val="7EBA1E2E"/>
    <w:rsid w:val="7EE30820"/>
    <w:rsid w:val="7F665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530</Words>
  <Characters>619</Characters>
  <Lines>6</Lines>
  <Paragraphs>1</Paragraphs>
  <TotalTime>0</TotalTime>
  <ScaleCrop>false</ScaleCrop>
  <LinksUpToDate>false</LinksUpToDate>
  <CharactersWithSpaces>811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2020-08-17T02:47:00Z</dcterms:created>
  <dc:creator>微软用户</dc:creator>
  <cp:lastModifiedBy>陈始明</cp:lastModifiedBy>
  <cp:lastPrinted>2017-06-02T00:38:00Z</cp:lastPrinted>
  <dcterms:modified xsi:type="dcterms:W3CDTF">2025-11-20T07:50:09Z</dcterms:modified>
  <dc:title>不合格报告说明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88DEC00F62AF48D084A851DC406E99C7</vt:lpwstr>
  </property>
  <property fmtid="{D5CDD505-2E9C-101B-9397-08002B2CF9AE}" pid="4" name="commondata">
    <vt:lpwstr>eyJoZGlkIjoiNWFiNWNmM2E3YjRjZDI2YjM2ZmQ2ZDE4ZDhhMzM5MDgifQ==</vt:lpwstr>
  </property>
  <property fmtid="{D5CDD505-2E9C-101B-9397-08002B2CF9AE}" pid="5" name="KSOTemplateDocerSaveRecord">
    <vt:lpwstr>eyJoZGlkIjoiNWFiNWNmM2E3YjRjZDI2YjM2ZmQ2ZDE4ZDhhMzM5MDgifQ==</vt:lpwstr>
  </property>
</Properties>
</file>