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858B6">
      <w:pPr>
        <w:widowControl/>
        <w:kinsoku w:val="0"/>
        <w:autoSpaceDE w:val="0"/>
        <w:autoSpaceDN w:val="0"/>
        <w:adjustRightInd w:val="0"/>
        <w:snapToGrid w:val="0"/>
        <w:spacing w:line="600" w:lineRule="exact"/>
        <w:jc w:val="center"/>
        <w:textAlignment w:val="baseline"/>
        <w:rPr>
          <w:rFonts w:hint="eastAsia" w:ascii="方正小标宋简体" w:hAnsi="方正小标宋简体" w:eastAsia="方正小标宋简体" w:cs="方正小标宋简体"/>
          <w:spacing w:val="-6"/>
          <w:sz w:val="44"/>
          <w:szCs w:val="44"/>
        </w:rPr>
      </w:pPr>
    </w:p>
    <w:p w14:paraId="25570F3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云浮市按病种分值付费（DIP）结算办法</w:t>
      </w:r>
    </w:p>
    <w:p w14:paraId="2BB3B9A9">
      <w:pPr>
        <w:pStyle w:val="2"/>
        <w:keepNext w:val="0"/>
        <w:keepLines w:val="0"/>
        <w:pageBreakBefore w:val="0"/>
        <w:wordWrap/>
        <w:overflowPunct/>
        <w:topLinePunct w:val="0"/>
        <w:bidi w:val="0"/>
        <w:spacing w:line="560" w:lineRule="exact"/>
        <w:jc w:val="center"/>
        <w:rPr>
          <w:rFonts w:hint="eastAsia" w:eastAsia="方正小标宋简体"/>
          <w:lang w:eastAsia="zh-CN"/>
        </w:rPr>
      </w:pPr>
      <w:r>
        <w:rPr>
          <w:rFonts w:hint="eastAsia" w:ascii="方正小标宋简体" w:hAnsi="方正小标宋简体" w:eastAsia="方正小标宋简体" w:cs="方正小标宋简体"/>
          <w:spacing w:val="-6"/>
          <w:sz w:val="44"/>
          <w:szCs w:val="44"/>
          <w:lang w:eastAsia="zh-CN"/>
        </w:rPr>
        <w:t>（</w:t>
      </w:r>
      <w:r>
        <w:rPr>
          <w:rFonts w:hint="eastAsia" w:ascii="方正小标宋简体" w:hAnsi="方正小标宋简体" w:eastAsia="方正小标宋简体" w:cs="方正小标宋简体"/>
          <w:spacing w:val="-6"/>
          <w:sz w:val="44"/>
          <w:szCs w:val="44"/>
          <w:lang w:val="en-US" w:eastAsia="zh-CN"/>
        </w:rPr>
        <w:t>征求意见稿</w:t>
      </w:r>
      <w:r>
        <w:rPr>
          <w:rFonts w:hint="eastAsia" w:ascii="方正小标宋简体" w:hAnsi="方正小标宋简体" w:eastAsia="方正小标宋简体" w:cs="方正小标宋简体"/>
          <w:spacing w:val="-6"/>
          <w:sz w:val="44"/>
          <w:szCs w:val="44"/>
          <w:lang w:eastAsia="zh-CN"/>
        </w:rPr>
        <w:t>）</w:t>
      </w:r>
    </w:p>
    <w:p w14:paraId="16883681">
      <w:pPr>
        <w:keepNext w:val="0"/>
        <w:keepLines w:val="0"/>
        <w:pageBreakBefore w:val="0"/>
        <w:wordWrap/>
        <w:overflowPunct/>
        <w:topLinePunct w:val="0"/>
        <w:bidi w:val="0"/>
        <w:spacing w:line="560" w:lineRule="exact"/>
        <w:rPr>
          <w:rFonts w:hint="eastAsia"/>
        </w:rPr>
      </w:pPr>
    </w:p>
    <w:p w14:paraId="37E521D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rPr>
        <w:t>第一章  总则</w:t>
      </w:r>
    </w:p>
    <w:p w14:paraId="2E087B5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第一条 为建立管用高效的医保支付机制，进一步推进全市DIP支付方式改革，根据《广东省医疗保障局关于印发&lt;广东省基本医疗保险按病种分值付费管理办法&gt;的通知》（粤医保规〔2024〕11号）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《广东省医疗保障局关于进一步推进全省DRG/DIP支付方式改革的通知》(粤医保发〔2022〕25号)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《广东省医疗保障局转发国家医疗保障按病种分值付费（DIP）技术规范（2.0版）的通知》(</w:t>
      </w:r>
      <w:r>
        <w:rPr>
          <w:rFonts w:hint="eastAsia" w:ascii="仿宋_GB2312" w:hAnsi="仿宋_GB2312" w:eastAsia="仿宋_GB2312" w:cs="仿宋_GB2312"/>
          <w:sz w:val="32"/>
          <w:szCs w:val="32"/>
          <w:lang w:val="en-US" w:eastAsia="zh-CN"/>
        </w:rPr>
        <w:t>粤</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val="en-US" w:eastAsia="zh-CN"/>
        </w:rPr>
        <w:t>便函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1179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《广东省医疗保障局关于印发〈广东省按病种分值付费（DIP）医疗保障经办管理规程（试行）〉的通知》（粤医保规〔2023〕1 号）和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国务院办公厅关于全面推进生育保险和职工基本医疗保险合并实施的意见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国办发〔2019〕10号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精神，结合我市实际，制定本办法。</w:t>
      </w:r>
    </w:p>
    <w:p w14:paraId="16D54AC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w:t>
      </w:r>
      <w:r>
        <w:rPr>
          <w:rFonts w:hint="eastAsia" w:ascii="仿宋_GB2312" w:hAnsi="仿宋_GB2312" w:eastAsia="仿宋_GB2312" w:cs="仿宋_GB2312"/>
          <w:sz w:val="32"/>
          <w:szCs w:val="32"/>
          <w:lang w:val="en-US" w:eastAsia="zh-CN"/>
        </w:rPr>
        <w:t>所称</w:t>
      </w:r>
      <w:r>
        <w:rPr>
          <w:rFonts w:hint="eastAsia" w:ascii="仿宋_GB2312" w:hAnsi="仿宋_GB2312" w:eastAsia="仿宋_GB2312" w:cs="仿宋_GB2312"/>
          <w:sz w:val="32"/>
          <w:szCs w:val="32"/>
        </w:rPr>
        <w:t>按病种分值付费（DIP）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以下简称DIP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利用大数据优势所建立的完整管理体系，发掘“疾病诊断+治疗方式”的共性特征对病案数据进行客观分类，在一定区域范围全样本病例数据中形成每一个疾病与治疗方式组合的标化定位，客观反映疾病严重程度、治疗复杂状态、资源消耗水平与临床行为规范。医保部门基于病种分值形成支付标准，对医疗机构每一病例实现标准化支付。</w:t>
      </w:r>
    </w:p>
    <w:p w14:paraId="19BF0DC7">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第三条 本办法适用于我市医保经办机构与我市基本医疗保险定点医疗机构之间的医保住院医</w:t>
      </w:r>
      <w:r>
        <w:rPr>
          <w:rFonts w:hint="eastAsia" w:ascii="仿宋_GB2312" w:hAnsi="仿宋_GB2312" w:eastAsia="仿宋_GB2312" w:cs="仿宋_GB2312"/>
          <w:color w:val="auto"/>
          <w:sz w:val="32"/>
          <w:szCs w:val="32"/>
        </w:rPr>
        <w:t>疗费用(含基层病种、日间手术、日间病房、中医特色治疗病种，</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精神类疾病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康复类病种</w:t>
      </w:r>
      <w:r>
        <w:rPr>
          <w:rFonts w:hint="eastAsia" w:ascii="仿宋_GB2312" w:hAnsi="仿宋_GB2312" w:eastAsia="仿宋_GB2312" w:cs="仿宋_GB2312"/>
          <w:color w:val="auto"/>
          <w:sz w:val="32"/>
          <w:szCs w:val="32"/>
        </w:rPr>
        <w:t>的床日分值)</w:t>
      </w:r>
      <w:r>
        <w:rPr>
          <w:rFonts w:hint="eastAsia" w:ascii="仿宋_GB2312" w:hAnsi="仿宋_GB2312" w:eastAsia="仿宋_GB2312" w:cs="仿宋_GB2312"/>
          <w:color w:val="auto"/>
          <w:sz w:val="32"/>
          <w:szCs w:val="32"/>
          <w:lang w:val="en-US" w:eastAsia="zh-CN"/>
        </w:rPr>
        <w:t>结算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定点医疗机构与参保患者之间的医保医疗费用结算按医保住院医疗待遇政策规定执行。</w:t>
      </w:r>
    </w:p>
    <w:p w14:paraId="391A2E1F">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以下情形的医疗费用不纳入DIP结算范围：</w:t>
      </w:r>
    </w:p>
    <w:p w14:paraId="4368CBD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当年度因参保人员</w:t>
      </w:r>
      <w:r>
        <w:rPr>
          <w:rFonts w:hint="eastAsia" w:ascii="仿宋_GB2312" w:hAnsi="仿宋_GB2312" w:eastAsia="仿宋_GB2312" w:cs="仿宋_GB2312"/>
          <w:color w:val="auto"/>
          <w:sz w:val="32"/>
          <w:szCs w:val="32"/>
          <w:lang w:val="en-US" w:eastAsia="zh-CN"/>
        </w:rPr>
        <w:t>欠缴医保费、</w:t>
      </w:r>
      <w:r>
        <w:rPr>
          <w:rFonts w:hint="eastAsia" w:ascii="仿宋_GB2312" w:hAnsi="仿宋_GB2312" w:eastAsia="仿宋_GB2312" w:cs="仿宋_GB2312"/>
          <w:color w:val="auto"/>
          <w:sz w:val="32"/>
          <w:szCs w:val="32"/>
        </w:rPr>
        <w:t>超年度最高支付限额、当次</w:t>
      </w:r>
      <w:r>
        <w:rPr>
          <w:rFonts w:hint="eastAsia" w:ascii="仿宋_GB2312" w:hAnsi="仿宋_GB2312" w:eastAsia="仿宋_GB2312" w:cs="仿宋_GB2312"/>
          <w:color w:val="auto"/>
          <w:sz w:val="32"/>
          <w:szCs w:val="32"/>
          <w:lang w:val="en-US" w:eastAsia="zh-CN"/>
        </w:rPr>
        <w:t>政策范围内</w:t>
      </w:r>
      <w:r>
        <w:rPr>
          <w:rFonts w:hint="eastAsia" w:ascii="仿宋_GB2312" w:hAnsi="仿宋_GB2312" w:eastAsia="仿宋_GB2312" w:cs="仿宋_GB2312"/>
          <w:color w:val="auto"/>
          <w:sz w:val="32"/>
          <w:szCs w:val="32"/>
        </w:rPr>
        <w:t xml:space="preserve">费用低于起付标准等原因导致出院结算时基本医疗保险统筹支付金额为零的病例不纳入DIP结算范围，但须纳入 </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 xml:space="preserve"> 项考核指标进行考核。</w:t>
      </w:r>
    </w:p>
    <w:p w14:paraId="6DB824B3">
      <w:pPr>
        <w:keepNext w:val="0"/>
        <w:keepLines w:val="0"/>
        <w:pageBreakBefore w:val="0"/>
        <w:widowControl/>
        <w:suppressLineNumbers w:val="0"/>
        <w:wordWrap/>
        <w:overflowPunct/>
        <w:topLinePunct w:val="0"/>
        <w:bidi w:val="0"/>
        <w:spacing w:line="560" w:lineRule="exact"/>
        <w:ind w:firstLine="620" w:firstLineChars="200"/>
        <w:jc w:val="left"/>
        <w:rPr>
          <w:rFonts w:hint="default" w:ascii="仿宋_GB2312" w:hAnsi="仿宋_GB2312" w:eastAsia="仿宋_GB2312" w:cs="仿宋_GB2312"/>
          <w:color w:val="auto"/>
          <w:kern w:val="0"/>
          <w:sz w:val="31"/>
          <w:szCs w:val="31"/>
          <w:highlight w:val="yellow"/>
          <w:lang w:val="en-US" w:eastAsia="zh-CN" w:bidi="ar"/>
        </w:rPr>
      </w:pPr>
      <w:r>
        <w:rPr>
          <w:rFonts w:hint="eastAsia" w:ascii="仿宋_GB2312" w:hAnsi="仿宋_GB2312" w:eastAsia="仿宋_GB2312" w:cs="仿宋_GB2312"/>
          <w:color w:val="auto"/>
          <w:kern w:val="0"/>
          <w:sz w:val="31"/>
          <w:szCs w:val="31"/>
          <w:lang w:val="en-US" w:eastAsia="zh-CN" w:bidi="ar"/>
        </w:rPr>
        <w:t>（二）参保人在定点医疗机构住院、急诊留院观察、日间病房（以下统称为住院）等发生的单独支付药品费用，由基本医疗保险统筹基金单独支付，不纳入DIP结算范围，但须纳入 费用考核指标进行考核。</w:t>
      </w:r>
      <w:r>
        <w:rPr>
          <w:rFonts w:hint="eastAsia" w:ascii="仿宋_GB2312" w:hAnsi="仿宋_GB2312" w:eastAsia="仿宋_GB2312" w:cs="仿宋_GB2312"/>
          <w:color w:val="auto"/>
          <w:kern w:val="0"/>
          <w:sz w:val="31"/>
          <w:szCs w:val="31"/>
          <w:highlight w:val="none"/>
          <w:lang w:val="en-US" w:eastAsia="zh-CN" w:bidi="ar"/>
        </w:rPr>
        <w:t>单独支付药品目录范围按国家和省有关规定执行。</w:t>
      </w:r>
    </w:p>
    <w:p w14:paraId="006E3A75">
      <w:pPr>
        <w:keepNext w:val="0"/>
        <w:keepLines w:val="0"/>
        <w:pageBreakBefore w:val="0"/>
        <w:widowControl/>
        <w:suppressLineNumbers w:val="0"/>
        <w:wordWrap/>
        <w:overflowPunct/>
        <w:topLinePunct w:val="0"/>
        <w:bidi w:val="0"/>
        <w:spacing w:line="560" w:lineRule="exact"/>
        <w:ind w:firstLine="620" w:firstLineChars="200"/>
        <w:jc w:val="left"/>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（三）</w:t>
      </w:r>
      <w:r>
        <w:rPr>
          <w:rFonts w:hint="eastAsia" w:ascii="仿宋_GB2312" w:hAnsi="仿宋_GB2312" w:eastAsia="仿宋_GB2312" w:cs="仿宋_GB2312"/>
          <w:color w:val="auto"/>
          <w:kern w:val="0"/>
          <w:sz w:val="31"/>
          <w:szCs w:val="31"/>
          <w:highlight w:val="none"/>
          <w:lang w:val="en-US" w:eastAsia="zh-CN" w:bidi="ar"/>
        </w:rPr>
        <w:t>全市二级及以上公立医疗机构开展特需医疗服务项目的，按照相关要求备案后，符合条件的特需医疗服务项目相关费用不纳入DIP医疗总费用清算，不列入当次住院医疗总费用、次均费用、自费率等考核指标核算范围。定点医疗机构应提供规范的诊疗服务。</w:t>
      </w:r>
    </w:p>
    <w:p w14:paraId="761FED85">
      <w:pPr>
        <w:keepNext w:val="0"/>
        <w:keepLines w:val="0"/>
        <w:pageBreakBefore w:val="0"/>
        <w:widowControl/>
        <w:suppressLineNumbers w:val="0"/>
        <w:wordWrap/>
        <w:overflowPunct/>
        <w:topLinePunct w:val="0"/>
        <w:bidi w:val="0"/>
        <w:spacing w:line="560" w:lineRule="exact"/>
        <w:ind w:firstLine="620" w:firstLineChars="200"/>
        <w:jc w:val="left"/>
        <w:rPr>
          <w:rFonts w:hint="default"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（四）定点医疗机构开展“免陪照护”医疗服务的，其服务费用不纳入DIP医疗总费用清算，不列入当次住院医疗总费用、次均费用、自费率等考核指标核算范围。定点医疗机构应提供规范的诊疗服务。</w:t>
      </w:r>
    </w:p>
    <w:p w14:paraId="6FC9574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促进生育医疗服务行为规范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职工</w:t>
      </w:r>
      <w:r>
        <w:rPr>
          <w:rFonts w:hint="eastAsia" w:ascii="仿宋_GB2312" w:hAnsi="仿宋_GB2312" w:eastAsia="仿宋_GB2312" w:cs="仿宋_GB2312"/>
          <w:color w:val="auto"/>
          <w:sz w:val="32"/>
          <w:szCs w:val="32"/>
        </w:rPr>
        <w:t>生育</w:t>
      </w:r>
      <w:r>
        <w:rPr>
          <w:rFonts w:hint="eastAsia" w:ascii="仿宋_GB2312" w:hAnsi="仿宋_GB2312" w:eastAsia="仿宋_GB2312" w:cs="仿宋_GB2312"/>
          <w:color w:val="auto"/>
          <w:sz w:val="32"/>
          <w:szCs w:val="32"/>
          <w:lang w:val="en-US" w:eastAsia="zh-CN"/>
        </w:rPr>
        <w:t>住院</w:t>
      </w:r>
      <w:r>
        <w:rPr>
          <w:rFonts w:hint="eastAsia" w:ascii="仿宋_GB2312" w:hAnsi="仿宋_GB2312" w:eastAsia="仿宋_GB2312" w:cs="仿宋_GB2312"/>
          <w:color w:val="auto"/>
          <w:sz w:val="32"/>
          <w:szCs w:val="32"/>
        </w:rPr>
        <w:t>医疗费用纳入医保支付方式改革范围，住院分娩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终止妊娠</w:t>
      </w:r>
      <w:r>
        <w:rPr>
          <w:rFonts w:hint="eastAsia" w:ascii="仿宋_GB2312" w:hAnsi="仿宋_GB2312" w:eastAsia="仿宋_GB2312" w:cs="仿宋_GB2312"/>
          <w:color w:val="auto"/>
          <w:sz w:val="32"/>
          <w:szCs w:val="32"/>
        </w:rPr>
        <w:t>等医疗费用</w:t>
      </w:r>
      <w:r>
        <w:rPr>
          <w:rFonts w:hint="eastAsia" w:ascii="仿宋_GB2312" w:hAnsi="仿宋_GB2312" w:eastAsia="仿宋_GB2312" w:cs="仿宋_GB2312"/>
          <w:color w:val="auto"/>
          <w:sz w:val="32"/>
          <w:szCs w:val="32"/>
          <w:lang w:val="en-US" w:eastAsia="zh-CN"/>
        </w:rPr>
        <w:t>实行DIP付费结算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职工生育住院直接使用基本医疗保险病种分值库。</w:t>
      </w:r>
    </w:p>
    <w:p w14:paraId="7474781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推进门诊特定病种医保医疗费用按DIP方式结算，具体实施细则另行制定。</w:t>
      </w:r>
    </w:p>
    <w:p w14:paraId="7DC749DB">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本办法遵循医保基金管理“以收定支、收支平衡、略有结余”的基本原则，在医保基金全市统收统支的基础上，实行预算管理、总额控制、病种赋值、月度预付、年度清算。</w:t>
      </w:r>
    </w:p>
    <w:p w14:paraId="3F02206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按照国家DIP付费技术规范和病种目录库相关要求，结合本地医保筹资能力、定点医疗机构功能定位等，以本地历史数据为基础，实行总额预算管理，建立与定点医疗机构的有效协商机制，完善本地病种目录库、系数等配套政策。</w:t>
      </w:r>
    </w:p>
    <w:p w14:paraId="0255AAD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DIP付费实施条件和数据准备、主目录策略与方法、辅助目录策略与方法、病种分值形成、分值付费标准测算、付费结算细则、监管考核与评价等，按照</w:t>
      </w:r>
      <w:r>
        <w:rPr>
          <w:rFonts w:hint="eastAsia" w:ascii="仿宋_GB2312" w:hAnsi="仿宋_GB2312" w:eastAsia="仿宋_GB2312" w:cs="仿宋_GB2312"/>
          <w:color w:val="auto"/>
          <w:sz w:val="32"/>
          <w:szCs w:val="32"/>
          <w:lang w:val="en-US" w:eastAsia="zh-CN"/>
        </w:rPr>
        <w:t>国家、省相关技术规范</w:t>
      </w:r>
      <w:r>
        <w:rPr>
          <w:rFonts w:hint="eastAsia" w:ascii="仿宋_GB2312" w:hAnsi="仿宋_GB2312" w:eastAsia="仿宋_GB2312" w:cs="仿宋_GB2312"/>
          <w:color w:val="auto"/>
          <w:sz w:val="32"/>
          <w:szCs w:val="32"/>
        </w:rPr>
        <w:t>及省经办规程等有关规定执行。</w:t>
      </w:r>
    </w:p>
    <w:p w14:paraId="25FEC45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391F760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第二章  基金付费总额预算</w:t>
      </w:r>
    </w:p>
    <w:p w14:paraId="24F27742">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基金付费总额，是指专门用于参保住院病人，适用于DIP支付方式政策下，市内所有定点医疗机构进行DIP支付方式付费结算的统筹基金总额。</w:t>
      </w:r>
    </w:p>
    <w:p w14:paraId="7D311217">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职工基本医疗保险（以下简称职工医保）和城乡居民基本医疗保险（以下简称居民医保）年度基金可用DIP支付方式付费结算总额预算分别确定，确定方式如下：</w:t>
      </w:r>
    </w:p>
    <w:p w14:paraId="4B177B7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当年可用结算总额=当年统筹基金征收总额（不含当年一次性趸缴收入）–统筹划入个帐费用–需统筹</w:t>
      </w:r>
      <w:r>
        <w:rPr>
          <w:rFonts w:hint="eastAsia" w:ascii="仿宋_GB2312" w:hAnsi="仿宋_GB2312" w:eastAsia="仿宋_GB2312" w:cs="仿宋_GB2312"/>
          <w:color w:val="auto"/>
          <w:sz w:val="32"/>
          <w:szCs w:val="32"/>
          <w:lang w:val="en-US" w:eastAsia="zh-CN"/>
        </w:rPr>
        <w:t>基</w:t>
      </w:r>
      <w:r>
        <w:rPr>
          <w:rFonts w:hint="eastAsia" w:ascii="仿宋_GB2312" w:hAnsi="仿宋_GB2312" w:eastAsia="仿宋_GB2312" w:cs="仿宋_GB2312"/>
          <w:color w:val="auto"/>
          <w:sz w:val="32"/>
          <w:szCs w:val="32"/>
        </w:rPr>
        <w:t>金支出的补充医疗保险保费–普通门诊费用–市内</w:t>
      </w:r>
      <w:r>
        <w:rPr>
          <w:rFonts w:hint="eastAsia" w:ascii="仿宋_GB2312" w:hAnsi="仿宋_GB2312" w:eastAsia="仿宋_GB2312" w:cs="仿宋_GB2312"/>
          <w:color w:val="auto"/>
          <w:sz w:val="32"/>
          <w:szCs w:val="32"/>
          <w:lang w:val="en-US" w:eastAsia="zh-CN"/>
        </w:rPr>
        <w:t>非DIP付费</w:t>
      </w:r>
      <w:r>
        <w:rPr>
          <w:rFonts w:hint="eastAsia" w:ascii="仿宋_GB2312" w:hAnsi="仿宋_GB2312" w:eastAsia="仿宋_GB2312" w:cs="仿宋_GB2312"/>
          <w:color w:val="auto"/>
          <w:sz w:val="32"/>
          <w:szCs w:val="32"/>
        </w:rPr>
        <w:t>门诊特定病种费用–按项目结算费用–市外就医结算费用–当年征收总额</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风险调节金。</w:t>
      </w:r>
    </w:p>
    <w:p w14:paraId="432E59B6">
      <w:pPr>
        <w:pStyle w:val="2"/>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保经办机构编制当年可用结算总额要以上年度按病种分值付费统筹基金实际支出为基础，可综合考虑当期基金结余情况、参保人员结构变化和就医情况、医疗服务水平、医疗费用增长等因素，当年可用结算总额增长要与我市经济社会的发展水平相适应，增长率不得高于 10%。</w:t>
      </w:r>
    </w:p>
    <w:p w14:paraId="3A743EC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健全医疗机构使用医保基金激励约束机制。在按病种分值付费年度可分配资金总额内提取10%设立按病种分值付费风险调节金，经合理超支分担后的剩余部分，用于按病种分值付费年度清算的二次分配。二次分配具体实施按</w:t>
      </w:r>
      <w:r>
        <w:rPr>
          <w:rFonts w:hint="eastAsia" w:ascii="仿宋_GB2312" w:hAnsi="仿宋_GB2312" w:eastAsia="仿宋_GB2312" w:cs="仿宋_GB2312"/>
          <w:color w:val="auto"/>
          <w:kern w:val="0"/>
          <w:sz w:val="32"/>
          <w:szCs w:val="32"/>
          <w:lang w:bidi="ar"/>
        </w:rPr>
        <w:t>《云浮市医疗保障局关于加强医保基金总额预算管理深入推进按病种分值付费改革方案》</w:t>
      </w:r>
      <w:r>
        <w:rPr>
          <w:rFonts w:hint="eastAsia" w:ascii="仿宋_GB2312" w:hAnsi="仿宋_GB2312" w:eastAsia="仿宋_GB2312" w:cs="仿宋_GB2312"/>
          <w:color w:val="auto"/>
          <w:kern w:val="0"/>
          <w:sz w:val="32"/>
          <w:szCs w:val="32"/>
          <w:lang w:val="en-US" w:eastAsia="zh-CN" w:bidi="ar"/>
        </w:rPr>
        <w:t>执行。</w:t>
      </w:r>
    </w:p>
    <w:p w14:paraId="1FA06EE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strike w:val="0"/>
          <w:dstrike w:val="0"/>
          <w:color w:val="auto"/>
          <w:sz w:val="32"/>
          <w:szCs w:val="32"/>
        </w:rPr>
        <w:t>九</w:t>
      </w:r>
      <w:r>
        <w:rPr>
          <w:rFonts w:hint="eastAsia" w:ascii="仿宋_GB2312" w:hAnsi="仿宋_GB2312" w:eastAsia="仿宋_GB2312" w:cs="仿宋_GB2312"/>
          <w:color w:val="auto"/>
          <w:sz w:val="32"/>
          <w:szCs w:val="32"/>
        </w:rPr>
        <w:t>条 对省级紧密型县域医共体医保支付方式综合改革试点县（市、区），在DIP政策框架范围内，按照省医保局部署做好医保支付方式综合改革试点。</w:t>
      </w:r>
    </w:p>
    <w:p w14:paraId="351F285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4036C1A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第三章  DIP 病种库确定</w:t>
      </w:r>
    </w:p>
    <w:p w14:paraId="6E8A0893">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按照国家技术规范，结合本地历史病例、以医保版疾病诊断编码（ICD-10）和手术操作编码（ICD-9-CM-3）</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聚类</w:t>
      </w:r>
      <w:r>
        <w:rPr>
          <w:rFonts w:hint="eastAsia" w:ascii="仿宋_GB2312" w:hAnsi="仿宋_GB2312" w:eastAsia="仿宋_GB2312" w:cs="仿宋_GB2312"/>
          <w:color w:val="auto"/>
          <w:sz w:val="32"/>
          <w:szCs w:val="32"/>
          <w:lang w:val="en-US" w:eastAsia="zh-CN"/>
        </w:rPr>
        <w:t>分组</w:t>
      </w:r>
      <w:r>
        <w:rPr>
          <w:rFonts w:hint="eastAsia" w:ascii="仿宋_GB2312" w:hAnsi="仿宋_GB2312" w:eastAsia="仿宋_GB2312" w:cs="仿宋_GB2312"/>
          <w:color w:val="auto"/>
          <w:sz w:val="32"/>
          <w:szCs w:val="32"/>
        </w:rPr>
        <w:t>，形成核心病种和综合病种，建立本市病种分值库。</w:t>
      </w:r>
      <w:r>
        <w:rPr>
          <w:rFonts w:hint="eastAsia" w:ascii="仿宋_GB2312" w:hAnsi="仿宋_GB2312" w:eastAsia="仿宋_GB2312" w:cs="仿宋_GB2312"/>
          <w:color w:val="auto"/>
          <w:sz w:val="32"/>
          <w:szCs w:val="32"/>
          <w:lang w:val="en-US" w:eastAsia="zh-CN"/>
        </w:rPr>
        <w:t>分值库</w:t>
      </w:r>
      <w:r>
        <w:rPr>
          <w:rFonts w:hint="eastAsia" w:ascii="仿宋_GB2312" w:hAnsi="仿宋_GB2312" w:eastAsia="仿宋_GB2312" w:cs="仿宋_GB2312"/>
          <w:color w:val="auto"/>
          <w:sz w:val="32"/>
          <w:szCs w:val="32"/>
        </w:rPr>
        <w:t>以结算年度前3年的病案数据，病例数达到10例及以上者定为核心病种。</w:t>
      </w:r>
    </w:p>
    <w:p w14:paraId="65DB110F">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strike/>
          <w:dstrike w:val="0"/>
          <w:color w:val="auto"/>
          <w:sz w:val="32"/>
          <w:szCs w:val="32"/>
        </w:rPr>
      </w:pPr>
      <w:r>
        <w:rPr>
          <w:rFonts w:hint="eastAsia" w:ascii="仿宋_GB2312" w:hAnsi="仿宋_GB2312" w:eastAsia="仿宋_GB2312" w:cs="仿宋_GB2312"/>
          <w:color w:val="auto"/>
          <w:sz w:val="32"/>
          <w:szCs w:val="32"/>
        </w:rPr>
        <w:t>第十一条 对低于10例的病种组合按类目或字母和手术操作</w:t>
      </w:r>
      <w:r>
        <w:rPr>
          <w:rFonts w:hint="eastAsia" w:ascii="仿宋_GB2312" w:hAnsi="仿宋_GB2312" w:eastAsia="仿宋_GB2312" w:cs="仿宋_GB2312"/>
          <w:color w:val="auto"/>
          <w:sz w:val="32"/>
          <w:szCs w:val="32"/>
          <w:lang w:val="en-US" w:eastAsia="zh-CN"/>
        </w:rPr>
        <w:t>分类</w:t>
      </w:r>
      <w:r>
        <w:rPr>
          <w:rFonts w:hint="eastAsia" w:ascii="仿宋_GB2312" w:hAnsi="仿宋_GB2312" w:eastAsia="仿宋_GB2312" w:cs="仿宋_GB2312"/>
          <w:color w:val="auto"/>
          <w:sz w:val="32"/>
          <w:szCs w:val="32"/>
        </w:rPr>
        <w:t>聚类，形成综合病种。</w:t>
      </w:r>
    </w:p>
    <w:p w14:paraId="06A7365B">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适合基层医疗卫生机构诊治且具备诊治能力的病种为基层病种，定点医疗机构诊治基层病种实行相同分值付费，即基层病种的基础系数为1。基层病种实行动态调整。</w:t>
      </w:r>
    </w:p>
    <w:p w14:paraId="14AB22C9">
      <w:pPr>
        <w:keepNext w:val="0"/>
        <w:keepLines w:val="0"/>
        <w:pageBreakBefore w:val="0"/>
        <w:tabs>
          <w:tab w:val="left" w:pos="2240"/>
        </w:tabs>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第十三条 </w:t>
      </w:r>
      <w:r>
        <w:rPr>
          <w:rFonts w:hint="eastAsia" w:ascii="仿宋_GB2312" w:hAnsi="仿宋_GB2312" w:eastAsia="仿宋_GB2312" w:cs="仿宋_GB2312"/>
          <w:color w:val="auto"/>
          <w:sz w:val="32"/>
          <w:szCs w:val="32"/>
          <w:lang w:val="en-US" w:eastAsia="zh-CN"/>
        </w:rPr>
        <w:t>中医类、康复类和严重精神障碍类病种范围的确定。</w:t>
      </w:r>
    </w:p>
    <w:p w14:paraId="6FCCA3A1">
      <w:pPr>
        <w:keepNext w:val="0"/>
        <w:keepLines w:val="0"/>
        <w:pageBreakBefore w:val="0"/>
        <w:tabs>
          <w:tab w:val="left" w:pos="2240"/>
        </w:tabs>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中医类。</w:t>
      </w:r>
      <w:r>
        <w:rPr>
          <w:rFonts w:hint="eastAsia" w:ascii="仿宋_GB2312" w:hAnsi="仿宋_GB2312" w:eastAsia="仿宋_GB2312" w:cs="仿宋_GB2312"/>
          <w:color w:val="auto"/>
          <w:sz w:val="32"/>
          <w:szCs w:val="32"/>
        </w:rPr>
        <w:t>充分发挥中医药的诊疗特色、技术价值与价格优势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在省公布的中医优势病种中遴选确定本市中医优势病种。同时符合以下两项要求的进入中医优势病种：</w:t>
      </w:r>
    </w:p>
    <w:p w14:paraId="2A8D8FF0">
      <w:pPr>
        <w:keepNext w:val="0"/>
        <w:keepLines w:val="0"/>
        <w:pageBreakBefore w:val="0"/>
        <w:tabs>
          <w:tab w:val="left" w:pos="2240"/>
        </w:tabs>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1.医保结算清单的出院西医主要诊断、中医主要诊断同时符合《中医优势住院病种分值表》的中医诊断名称、诊断编码及西医诊断名称、诊断编码；</w:t>
      </w:r>
    </w:p>
    <w:p w14:paraId="4ECB06BA">
      <w:pPr>
        <w:keepNext w:val="0"/>
        <w:keepLines w:val="0"/>
        <w:pageBreakBefore w:val="0"/>
        <w:tabs>
          <w:tab w:val="left" w:pos="2240"/>
        </w:tabs>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2.中医综合治疗费用（指中药饮片费、中成药费以及治疗费中的中医及民族医诊疗类项目费用之和）占住院综合治疗费用（指治疗费、手术费、西药费、中药饮片费、中成药费之和）的比例大于50%。</w:t>
      </w:r>
    </w:p>
    <w:p w14:paraId="0EACC4C9">
      <w:pPr>
        <w:keepNext w:val="0"/>
        <w:keepLines w:val="0"/>
        <w:pageBreakBefore w:val="0"/>
        <w:tabs>
          <w:tab w:val="left" w:pos="2240"/>
        </w:tabs>
        <w:wordWrap/>
        <w:overflowPunct/>
        <w:topLinePunct w:val="0"/>
        <w:bidi w:val="0"/>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在采用中医药治疗疗效</w:t>
      </w:r>
      <w:r>
        <w:rPr>
          <w:rFonts w:hint="eastAsia" w:ascii="Times New Roman" w:hAnsi="Times New Roman" w:eastAsia="仿宋_GB2312"/>
          <w:color w:val="auto"/>
          <w:sz w:val="32"/>
          <w:szCs w:val="32"/>
          <w:lang w:val="en-US" w:eastAsia="zh-CN"/>
        </w:rPr>
        <w:t>不佳</w:t>
      </w:r>
      <w:r>
        <w:rPr>
          <w:rFonts w:hint="eastAsia" w:ascii="Times New Roman" w:hAnsi="Times New Roman" w:eastAsia="仿宋_GB2312"/>
          <w:color w:val="auto"/>
          <w:sz w:val="32"/>
          <w:szCs w:val="32"/>
        </w:rPr>
        <w:t>转为西医治疗的、治疗未完成即转入其他医疗机构治疗的，退出</w:t>
      </w:r>
      <w:r>
        <w:rPr>
          <w:rFonts w:hint="eastAsia" w:ascii="Times New Roman" w:hAnsi="Times New Roman" w:eastAsia="仿宋_GB2312"/>
          <w:color w:val="auto"/>
          <w:sz w:val="32"/>
          <w:szCs w:val="32"/>
          <w:lang w:val="en-US" w:eastAsia="zh-CN"/>
        </w:rPr>
        <w:t>中医优势病种</w:t>
      </w:r>
      <w:r>
        <w:rPr>
          <w:rFonts w:hint="eastAsia" w:ascii="Times New Roman" w:hAnsi="Times New Roman" w:eastAsia="仿宋_GB2312"/>
          <w:color w:val="auto"/>
          <w:sz w:val="32"/>
          <w:szCs w:val="32"/>
        </w:rPr>
        <w:t>管理，</w:t>
      </w:r>
      <w:r>
        <w:rPr>
          <w:rFonts w:hint="eastAsia" w:ascii="Times New Roman" w:hAnsi="Times New Roman" w:eastAsia="仿宋_GB2312"/>
          <w:color w:val="auto"/>
          <w:sz w:val="32"/>
          <w:szCs w:val="32"/>
          <w:lang w:val="en-US" w:eastAsia="zh-CN"/>
        </w:rPr>
        <w:t>按</w:t>
      </w:r>
      <w:r>
        <w:rPr>
          <w:rFonts w:hint="eastAsia" w:ascii="Times New Roman" w:hAnsi="Times New Roman" w:eastAsia="仿宋_GB2312"/>
          <w:color w:val="auto"/>
          <w:sz w:val="32"/>
          <w:szCs w:val="32"/>
        </w:rPr>
        <w:t>相应病种</w:t>
      </w:r>
      <w:r>
        <w:rPr>
          <w:rFonts w:hint="eastAsia" w:ascii="Times New Roman" w:hAnsi="Times New Roman" w:eastAsia="仿宋_GB2312"/>
          <w:color w:val="auto"/>
          <w:sz w:val="32"/>
          <w:szCs w:val="32"/>
          <w:lang w:val="en-US" w:eastAsia="zh-CN"/>
        </w:rPr>
        <w:t>西医分值库的</w:t>
      </w:r>
      <w:r>
        <w:rPr>
          <w:rFonts w:hint="eastAsia" w:ascii="Times New Roman" w:hAnsi="Times New Roman" w:eastAsia="仿宋_GB2312"/>
          <w:color w:val="auto"/>
          <w:sz w:val="32"/>
          <w:szCs w:val="32"/>
        </w:rPr>
        <w:t>分值付费。</w:t>
      </w:r>
    </w:p>
    <w:p w14:paraId="4B97F0C3">
      <w:pPr>
        <w:keepNext w:val="0"/>
        <w:keepLines w:val="0"/>
        <w:pageBreakBefore w:val="0"/>
        <w:tabs>
          <w:tab w:val="left" w:pos="2240"/>
        </w:tabs>
        <w:wordWrap/>
        <w:overflowPunct/>
        <w:topLinePunct w:val="0"/>
        <w:bidi w:val="0"/>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中医优势病种实施同病同治同分值。</w:t>
      </w:r>
    </w:p>
    <w:p w14:paraId="298E727E">
      <w:pPr>
        <w:keepNext w:val="0"/>
        <w:keepLines w:val="0"/>
        <w:pageBreakBefore w:val="0"/>
        <w:numPr>
          <w:ilvl w:val="0"/>
          <w:numId w:val="0"/>
        </w:numPr>
        <w:tabs>
          <w:tab w:val="left" w:pos="2240"/>
        </w:tabs>
        <w:wordWrap/>
        <w:overflowPunct/>
        <w:topLinePunct w:val="0"/>
        <w:bidi w:val="0"/>
        <w:spacing w:line="560" w:lineRule="exact"/>
        <w:ind w:firstLine="640" w:firstLineChars="200"/>
        <w:rPr>
          <w:rFonts w:hint="eastAsia"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康复类。</w:t>
      </w:r>
      <w:r>
        <w:rPr>
          <w:rFonts w:hint="eastAsia" w:ascii="仿宋_GB2312" w:hAnsi="仿宋_GB2312" w:eastAsia="仿宋_GB2312" w:cs="仿宋_GB2312"/>
          <w:color w:val="auto"/>
          <w:sz w:val="32"/>
          <w:szCs w:val="32"/>
        </w:rPr>
        <w:t>对于康复类病种急性期住院治疗的费用</w:t>
      </w:r>
      <w:r>
        <w:rPr>
          <w:rFonts w:hint="eastAsia" w:ascii="仿宋_GB2312" w:hAnsi="仿宋_GB2312" w:eastAsia="仿宋_GB2312" w:cs="仿宋_GB2312"/>
          <w:color w:val="auto"/>
          <w:sz w:val="32"/>
          <w:szCs w:val="32"/>
          <w:lang w:val="en-US" w:eastAsia="zh-CN"/>
        </w:rPr>
        <w:t>按正常病例实行DIP付费</w:t>
      </w:r>
      <w:r>
        <w:rPr>
          <w:rFonts w:hint="eastAsia" w:ascii="仿宋_GB2312" w:hAnsi="仿宋_GB2312" w:eastAsia="仿宋_GB2312" w:cs="仿宋_GB2312"/>
          <w:color w:val="auto"/>
          <w:sz w:val="32"/>
          <w:szCs w:val="32"/>
        </w:rPr>
        <w:t>，对于转入康复期住院治疗的费用实施DIP床日分值付费</w:t>
      </w:r>
      <w:r>
        <w:rPr>
          <w:rFonts w:hint="eastAsia" w:ascii="仿宋_GB2312" w:hAnsi="仿宋_GB2312" w:eastAsia="仿宋_GB2312" w:cs="仿宋_GB2312"/>
          <w:color w:val="auto"/>
          <w:sz w:val="32"/>
          <w:szCs w:val="32"/>
          <w:lang w:eastAsia="zh-CN"/>
        </w:rPr>
        <w:t>。参保</w:t>
      </w:r>
      <w:r>
        <w:rPr>
          <w:rFonts w:hint="eastAsia" w:ascii="Times New Roman" w:hAnsi="Times New Roman" w:eastAsia="仿宋_GB2312"/>
          <w:color w:val="auto"/>
          <w:sz w:val="32"/>
          <w:szCs w:val="32"/>
          <w:lang w:eastAsia="zh-CN"/>
        </w:rPr>
        <w:t>患者在定点医疗机构疾病急性期诊治结束或手术治疗结束，按照《日常生活能力评估表》评估结果在60分以下的或者根据《功能障碍者生活自理能力评定方法》（GB/T 37103-2018）对日常生活自理能力评定为“生活大部分自理”状态以下的患者，经综合评定需进行康复治疗的，自转入康复医疗机构首次住院之日起，基本医疗保险实行按床日分值付费。康复期参保患者第一诊断亚目</w:t>
      </w:r>
      <w:r>
        <w:rPr>
          <w:rFonts w:hint="eastAsia" w:ascii="Times New Roman" w:hAnsi="Times New Roman" w:eastAsia="仿宋_GB2312"/>
          <w:color w:val="auto"/>
          <w:sz w:val="32"/>
          <w:szCs w:val="32"/>
          <w:lang w:val="en-US" w:eastAsia="zh-CN"/>
        </w:rPr>
        <w:t>须</w:t>
      </w:r>
      <w:r>
        <w:rPr>
          <w:rFonts w:hint="eastAsia" w:ascii="Times New Roman" w:hAnsi="Times New Roman" w:eastAsia="仿宋_GB2312"/>
          <w:color w:val="auto"/>
          <w:sz w:val="32"/>
          <w:szCs w:val="32"/>
          <w:lang w:eastAsia="zh-CN"/>
        </w:rPr>
        <w:t>与分值表亚目一致。</w:t>
      </w:r>
    </w:p>
    <w:p w14:paraId="7AF3644F">
      <w:pPr>
        <w:keepNext w:val="0"/>
        <w:keepLines w:val="0"/>
        <w:pageBreakBefore w:val="0"/>
        <w:numPr>
          <w:ilvl w:val="0"/>
          <w:numId w:val="0"/>
        </w:numPr>
        <w:tabs>
          <w:tab w:val="left" w:pos="2240"/>
        </w:tabs>
        <w:wordWrap/>
        <w:overflowPunct/>
        <w:topLinePunct w:val="0"/>
        <w:bidi w:val="0"/>
        <w:spacing w:line="56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康复类病种住院参保患者在康复期治疗期间，原则上在60天内未达到出院标准的，医疗机构不得要求患者出院或转院。急性期后转入本院康复科继续康复治疗的参保患者，视同一次住院，个人不再支付起付标准费用。康复病种康复期住院参保患者病情好转后，需转入下级医疗机构继续康复治疗的，转诊视同同一次住院，个人不再支付起付标准费用，按该级别医疗机构的支付标准实施按病种床日分值付费（DIP），进一步促进分级诊疗，减轻参保人负担。</w:t>
      </w:r>
    </w:p>
    <w:p w14:paraId="198B1C60">
      <w:pPr>
        <w:keepNext w:val="0"/>
        <w:keepLines w:val="0"/>
        <w:pageBreakBefore w:val="0"/>
        <w:numPr>
          <w:ilvl w:val="0"/>
          <w:numId w:val="0"/>
        </w:numPr>
        <w:tabs>
          <w:tab w:val="left" w:pos="2240"/>
        </w:tabs>
        <w:wordWrap/>
        <w:overflowPunct/>
        <w:topLinePunct w:val="0"/>
        <w:bidi w:val="0"/>
        <w:spacing w:line="560" w:lineRule="exact"/>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stheme="minorBidi"/>
          <w:color w:val="auto"/>
          <w:kern w:val="2"/>
          <w:sz w:val="32"/>
          <w:szCs w:val="32"/>
          <w:lang w:val="en-US" w:eastAsia="zh-CN" w:bidi="ar-SA"/>
        </w:rPr>
        <w:t>（三）</w:t>
      </w:r>
      <w:r>
        <w:rPr>
          <w:rFonts w:hint="eastAsia" w:ascii="Times New Roman" w:hAnsi="Times New Roman" w:eastAsia="仿宋_GB2312"/>
          <w:color w:val="auto"/>
          <w:sz w:val="32"/>
          <w:szCs w:val="32"/>
          <w:lang w:eastAsia="zh-CN"/>
        </w:rPr>
        <w:t>严重精神障碍类。精神分裂症、分裂情感性障碍、持久的妄想性障碍（偏执性精神病）、双相（情感）障碍、癫痫所致精神障碍、精神发育迟滞伴发精神障碍，以及其他需要住院治疗的精神类疾病，实施DIP床日分值付费。</w:t>
      </w:r>
    </w:p>
    <w:p w14:paraId="577F9867">
      <w:pPr>
        <w:keepNext w:val="0"/>
        <w:keepLines w:val="0"/>
        <w:pageBreakBefore w:val="0"/>
        <w:numPr>
          <w:ilvl w:val="0"/>
          <w:numId w:val="0"/>
        </w:numPr>
        <w:tabs>
          <w:tab w:val="left" w:pos="2240"/>
        </w:tabs>
        <w:wordWrap/>
        <w:overflowPunct/>
        <w:topLinePunct w:val="0"/>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第十四条 </w:t>
      </w:r>
      <w:r>
        <w:rPr>
          <w:rFonts w:hint="eastAsia" w:ascii="仿宋_GB2312" w:hAnsi="仿宋_GB2312" w:eastAsia="仿宋_GB2312" w:cs="仿宋_GB2312"/>
          <w:color w:val="auto"/>
          <w:sz w:val="32"/>
          <w:szCs w:val="32"/>
          <w:lang w:val="en-US" w:eastAsia="zh-CN"/>
        </w:rPr>
        <w:t>各病种分值计算方式。</w:t>
      </w:r>
    </w:p>
    <w:p w14:paraId="55571E6C">
      <w:pPr>
        <w:keepNext w:val="0"/>
        <w:keepLines w:val="0"/>
        <w:pageBreakBefore w:val="0"/>
        <w:numPr>
          <w:ilvl w:val="0"/>
          <w:numId w:val="0"/>
        </w:numPr>
        <w:tabs>
          <w:tab w:val="left" w:pos="2240"/>
        </w:tabs>
        <w:wordWrap/>
        <w:overflowPunct/>
        <w:topLinePunct w:val="0"/>
        <w:bidi w:val="0"/>
        <w:spacing w:line="560" w:lineRule="exact"/>
        <w:ind w:firstLine="640" w:firstLineChars="200"/>
        <w:rPr>
          <w:rFonts w:hint="eastAsia" w:ascii="仿宋_GB2312" w:hAnsi="仿宋_GB2312" w:eastAsia="仿宋_GB2312" w:cs="仿宋_GB2312"/>
          <w:strike/>
          <w:dstrike w:val="0"/>
          <w:color w:val="auto"/>
          <w:sz w:val="32"/>
          <w:szCs w:val="32"/>
        </w:rPr>
      </w:pPr>
      <w:r>
        <w:rPr>
          <w:rFonts w:hint="eastAsia" w:ascii="Times New Roman" w:hAnsi="Times New Roman" w:eastAsia="仿宋_GB2312"/>
          <w:color w:val="auto"/>
          <w:sz w:val="32"/>
          <w:szCs w:val="32"/>
          <w:lang w:val="en-US" w:eastAsia="zh-CN"/>
        </w:rPr>
        <w:t>西医</w:t>
      </w:r>
      <w:r>
        <w:rPr>
          <w:rFonts w:hint="eastAsia" w:ascii="Times New Roman" w:hAnsi="Times New Roman" w:eastAsia="仿宋_GB2312"/>
          <w:color w:val="auto"/>
          <w:sz w:val="32"/>
          <w:szCs w:val="32"/>
        </w:rPr>
        <w:t>病种的分值为前3个年度该病种次均</w:t>
      </w:r>
      <w:r>
        <w:rPr>
          <w:rFonts w:hint="eastAsia" w:ascii="仿宋_GB2312" w:hAnsi="仿宋_GB2312" w:eastAsia="仿宋_GB2312" w:cs="仿宋_GB2312"/>
          <w:color w:val="auto"/>
          <w:sz w:val="32"/>
          <w:szCs w:val="32"/>
        </w:rPr>
        <w:t>总医疗费用的加权平均值（</w:t>
      </w:r>
      <w:r>
        <w:rPr>
          <w:rFonts w:hint="eastAsia" w:ascii="仿宋_GB2312" w:hAnsi="仿宋_GB2312" w:eastAsia="仿宋_GB2312" w:cs="仿宋_GB2312"/>
          <w:color w:val="auto"/>
          <w:sz w:val="32"/>
          <w:szCs w:val="32"/>
          <w:lang w:val="en-US" w:eastAsia="zh-CN"/>
        </w:rPr>
        <w:t>按年份由远至近设定为1:2:7</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基准病例</w:t>
      </w:r>
      <w:r>
        <w:rPr>
          <w:rFonts w:hint="eastAsia" w:ascii="仿宋_GB2312" w:hAnsi="仿宋_GB2312" w:eastAsia="仿宋_GB2312" w:cs="仿宋_GB2312"/>
          <w:color w:val="auto"/>
          <w:sz w:val="32"/>
          <w:szCs w:val="32"/>
        </w:rPr>
        <w:t>次均费用的比值乘以基准分值1000所得。</w:t>
      </w:r>
    </w:p>
    <w:p w14:paraId="103C7DF1">
      <w:pPr>
        <w:keepNext w:val="0"/>
        <w:keepLines w:val="0"/>
        <w:pageBreakBefore w:val="0"/>
        <w:tabs>
          <w:tab w:val="left" w:pos="2240"/>
        </w:tabs>
        <w:wordWrap/>
        <w:overflowPunct/>
        <w:topLinePunct w:val="0"/>
        <w:bidi w:val="0"/>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床日分值为前3个年度按床日结算病例的日均总医疗费用的加权平均值（</w:t>
      </w:r>
      <w:r>
        <w:rPr>
          <w:rFonts w:hint="eastAsia" w:ascii="Times New Roman" w:hAnsi="Times New Roman" w:eastAsia="仿宋_GB2312"/>
          <w:color w:val="auto"/>
          <w:sz w:val="32"/>
          <w:szCs w:val="32"/>
        </w:rPr>
        <w:t>按年份由远至近设定为1:2:7</w:t>
      </w:r>
      <w:r>
        <w:rPr>
          <w:rFonts w:ascii="Times New Roman" w:hAnsi="Times New Roman" w:eastAsia="仿宋_GB2312"/>
          <w:color w:val="auto"/>
          <w:sz w:val="32"/>
          <w:szCs w:val="32"/>
        </w:rPr>
        <w:t>）与全病种次均费用的比值乘以基准分值1000所得。</w:t>
      </w:r>
    </w:p>
    <w:p w14:paraId="29E0FB54">
      <w:pPr>
        <w:keepNext w:val="0"/>
        <w:keepLines w:val="0"/>
        <w:pageBreakBefore w:val="0"/>
        <w:tabs>
          <w:tab w:val="left" w:pos="2240"/>
        </w:tabs>
        <w:wordWrap/>
        <w:overflowPunct/>
        <w:topLinePunct w:val="0"/>
        <w:bidi w:val="0"/>
        <w:spacing w:line="560" w:lineRule="exact"/>
        <w:ind w:firstLine="640" w:firstLineChars="200"/>
        <w:rPr>
          <w:rFonts w:hint="default" w:ascii="Times New Roman" w:hAnsi="Times New Roman" w:eastAsia="仿宋_GB2312"/>
          <w:color w:val="auto"/>
          <w:sz w:val="32"/>
          <w:szCs w:val="32"/>
          <w:lang w:val="en-US" w:eastAsia="zh-CN"/>
        </w:rPr>
      </w:pPr>
      <w:r>
        <w:rPr>
          <w:rFonts w:ascii="Times New Roman" w:hAnsi="Times New Roman" w:eastAsia="仿宋_GB2312"/>
          <w:color w:val="auto"/>
          <w:sz w:val="32"/>
          <w:szCs w:val="32"/>
        </w:rPr>
        <w:t>中医优势病种分值为</w:t>
      </w:r>
      <w:r>
        <w:rPr>
          <w:rFonts w:hint="eastAsia" w:ascii="Times New Roman" w:hAnsi="Times New Roman" w:eastAsia="仿宋_GB2312"/>
          <w:color w:val="auto"/>
          <w:sz w:val="32"/>
          <w:szCs w:val="32"/>
          <w:lang w:val="en-US" w:eastAsia="zh-CN"/>
        </w:rPr>
        <w:t>西医</w:t>
      </w:r>
      <w:r>
        <w:rPr>
          <w:rFonts w:ascii="Times New Roman" w:hAnsi="Times New Roman" w:eastAsia="仿宋_GB2312"/>
          <w:color w:val="auto"/>
          <w:sz w:val="32"/>
          <w:szCs w:val="32"/>
        </w:rPr>
        <w:t>相应病种保守治疗病种分值乘以</w:t>
      </w:r>
      <w:r>
        <w:rPr>
          <w:rFonts w:hint="eastAsia" w:ascii="Times New Roman" w:hAnsi="Times New Roman" w:eastAsia="仿宋_GB2312"/>
          <w:color w:val="auto"/>
          <w:sz w:val="32"/>
          <w:szCs w:val="32"/>
          <w:u w:val="none"/>
          <w:lang w:val="en-US" w:eastAsia="zh-CN"/>
        </w:rPr>
        <w:t>1.3</w:t>
      </w:r>
      <w:r>
        <w:rPr>
          <w:rFonts w:ascii="Times New Roman" w:hAnsi="Times New Roman" w:eastAsia="仿宋_GB2312"/>
          <w:color w:val="auto"/>
          <w:sz w:val="32"/>
          <w:szCs w:val="32"/>
        </w:rPr>
        <w:t>所得</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如无对应的西医分值则按本条第一款计算后乘以1.3所得</w:t>
      </w:r>
      <w:r>
        <w:rPr>
          <w:rFonts w:ascii="Times New Roman" w:hAnsi="Times New Roman" w:eastAsia="仿宋_GB2312"/>
          <w:color w:val="auto"/>
          <w:sz w:val="32"/>
          <w:szCs w:val="32"/>
        </w:rPr>
        <w:t>。</w:t>
      </w:r>
    </w:p>
    <w:p w14:paraId="112FAECF">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 xml:space="preserve">第十五条 </w:t>
      </w:r>
      <w:r>
        <w:rPr>
          <w:rFonts w:hint="eastAsia" w:ascii="仿宋_GB2312" w:hAnsi="仿宋_GB2312" w:eastAsia="仿宋_GB2312" w:cs="仿宋_GB2312"/>
          <w:color w:val="auto"/>
          <w:sz w:val="32"/>
          <w:szCs w:val="32"/>
          <w:highlight w:val="none"/>
          <w:lang w:eastAsia="zh-CN"/>
        </w:rPr>
        <w:t>未入组病例分值的确定。</w:t>
      </w:r>
    </w:p>
    <w:p w14:paraId="4D82AF4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定点医疗机构住院病例的主要诊断和手术操作编码与我市 DIP 病种分值库无法对应的，视为未入组病例，按比例折算分值。</w:t>
      </w:r>
    </w:p>
    <w:p w14:paraId="00DE954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未入组病例分值</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该病例实际医疗费用÷</w:t>
      </w:r>
      <w:r>
        <w:rPr>
          <w:rFonts w:hint="eastAsia" w:ascii="仿宋_GB2312" w:hAnsi="仿宋_GB2312" w:eastAsia="仿宋_GB2312" w:cs="仿宋_GB2312"/>
          <w:color w:val="auto"/>
          <w:sz w:val="32"/>
          <w:szCs w:val="32"/>
          <w:highlight w:val="none"/>
          <w:lang w:val="en-US" w:eastAsia="zh-CN"/>
        </w:rPr>
        <w:t>当年度DIP付费病种分值库基准病种</w:t>
      </w:r>
      <w:r>
        <w:rPr>
          <w:rFonts w:hint="default" w:ascii="Arial" w:hAnsi="Arial" w:eastAsia="仿宋_GB2312" w:cs="Arial"/>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85%。</w:t>
      </w:r>
    </w:p>
    <w:p w14:paraId="2CD8E0F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 DIP付费病种分值库</w:t>
      </w:r>
      <w:r>
        <w:rPr>
          <w:rFonts w:hint="eastAsia" w:ascii="仿宋_GB2312" w:hAnsi="仿宋_GB2312" w:eastAsia="仿宋_GB2312" w:cs="仿宋_GB2312"/>
          <w:color w:val="auto"/>
          <w:sz w:val="32"/>
          <w:szCs w:val="32"/>
          <w:lang w:val="en-US" w:eastAsia="zh-CN"/>
        </w:rPr>
        <w:t>由市医保部门另行公布，</w:t>
      </w:r>
      <w:r>
        <w:rPr>
          <w:rFonts w:hint="eastAsia" w:ascii="仿宋_GB2312" w:hAnsi="仿宋_GB2312" w:eastAsia="仿宋_GB2312" w:cs="仿宋_GB2312"/>
          <w:color w:val="auto"/>
          <w:sz w:val="32"/>
          <w:szCs w:val="32"/>
        </w:rPr>
        <w:t>实行动态调整，</w:t>
      </w:r>
      <w:r>
        <w:rPr>
          <w:rFonts w:hint="eastAsia" w:ascii="仿宋_GB2312" w:hAnsi="仿宋_GB2312" w:eastAsia="仿宋_GB2312" w:cs="仿宋_GB2312"/>
          <w:color w:val="auto"/>
          <w:sz w:val="32"/>
          <w:szCs w:val="32"/>
          <w:lang w:val="en-US" w:eastAsia="zh-CN"/>
        </w:rPr>
        <w:t>原则上2年调整一次，</w:t>
      </w:r>
      <w:r>
        <w:rPr>
          <w:rFonts w:hint="eastAsia" w:ascii="仿宋_GB2312" w:hAnsi="仿宋_GB2312" w:eastAsia="仿宋_GB2312" w:cs="仿宋_GB2312"/>
          <w:color w:val="auto"/>
          <w:sz w:val="32"/>
          <w:szCs w:val="32"/>
        </w:rPr>
        <w:t>市医保部门根据上级部门的有关要求，结合我市实际，组织专家修改、完善DIP付费病种分值库，并公布执行。</w:t>
      </w:r>
    </w:p>
    <w:p w14:paraId="7AC2F72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706DCBD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第四章  定点医疗机构系数</w:t>
      </w:r>
    </w:p>
    <w:p w14:paraId="706E4B23">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 建立定点医疗机构系数动态调整机制。综合考虑定点医疗机构级别、功能定位、医疗水平、专科特色、病种结构等因素，设定定点医疗机构系数，区分不同级别、不同管理服务水平的定点医疗机构并动态调整。</w:t>
      </w:r>
    </w:p>
    <w:p w14:paraId="2F6C8792">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第十八条 定点医疗机构系数分为基本系数和加成系数。定点医疗机构系数=基本系数×(1+加成系数)。</w:t>
      </w:r>
    </w:p>
    <w:p w14:paraId="66CEA3A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初始基本系数设置为：三级医疗机构0.9</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，二级医疗机构0.63</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，一级医疗机构0.36</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w:t>
      </w:r>
    </w:p>
    <w:p w14:paraId="30131188">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严重精神障碍类</w:t>
      </w:r>
      <w:r>
        <w:rPr>
          <w:rFonts w:hint="eastAsia" w:ascii="仿宋_GB2312" w:hAnsi="仿宋_GB2312" w:eastAsia="仿宋_GB2312" w:cs="仿宋_GB2312"/>
          <w:color w:val="auto"/>
          <w:sz w:val="32"/>
          <w:szCs w:val="32"/>
          <w:lang w:eastAsia="zh-CN"/>
        </w:rPr>
        <w:t>初始基本系数设置为：三级医疗机构1，二级医疗机构0.9，一级医疗机构0.7。</w:t>
      </w:r>
    </w:p>
    <w:p w14:paraId="6EEE574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年基本系数：三级医疗机构按照</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年按病种分值付费结算系数确定；</w:t>
      </w:r>
      <w:r>
        <w:rPr>
          <w:rFonts w:hint="eastAsia" w:ascii="仿宋_GB2312" w:hAnsi="仿宋_GB2312" w:eastAsia="仿宋_GB2312" w:cs="仿宋_GB2312"/>
          <w:strike w:val="0"/>
          <w:dstrike w:val="0"/>
          <w:color w:val="auto"/>
          <w:sz w:val="32"/>
          <w:szCs w:val="32"/>
          <w:highlight w:val="none"/>
        </w:rPr>
        <w:t>一、二级医疗机构以202</w:t>
      </w:r>
      <w:r>
        <w:rPr>
          <w:rFonts w:hint="eastAsia" w:ascii="仿宋_GB2312" w:hAnsi="仿宋_GB2312" w:eastAsia="仿宋_GB2312" w:cs="仿宋_GB2312"/>
          <w:strike w:val="0"/>
          <w:dstrike w:val="0"/>
          <w:color w:val="auto"/>
          <w:sz w:val="32"/>
          <w:szCs w:val="32"/>
          <w:highlight w:val="none"/>
          <w:lang w:val="en-US" w:eastAsia="zh-CN"/>
        </w:rPr>
        <w:t>5</w:t>
      </w:r>
      <w:r>
        <w:rPr>
          <w:rFonts w:hint="eastAsia" w:ascii="仿宋_GB2312" w:hAnsi="仿宋_GB2312" w:eastAsia="仿宋_GB2312" w:cs="仿宋_GB2312"/>
          <w:strike w:val="0"/>
          <w:dstrike w:val="0"/>
          <w:color w:val="auto"/>
          <w:sz w:val="32"/>
          <w:szCs w:val="32"/>
          <w:highlight w:val="none"/>
        </w:rPr>
        <w:t>年所有病种次均医疗费用（202</w:t>
      </w:r>
      <w:r>
        <w:rPr>
          <w:rFonts w:hint="eastAsia" w:ascii="仿宋_GB2312" w:hAnsi="仿宋_GB2312" w:eastAsia="仿宋_GB2312" w:cs="仿宋_GB2312"/>
          <w:strike w:val="0"/>
          <w:dstrike w:val="0"/>
          <w:color w:val="auto"/>
          <w:sz w:val="32"/>
          <w:szCs w:val="32"/>
          <w:highlight w:val="none"/>
          <w:lang w:val="en-US" w:eastAsia="zh-CN"/>
        </w:rPr>
        <w:t>4</w:t>
      </w:r>
      <w:r>
        <w:rPr>
          <w:rFonts w:hint="eastAsia" w:ascii="仿宋_GB2312" w:hAnsi="仿宋_GB2312" w:eastAsia="仿宋_GB2312" w:cs="仿宋_GB2312"/>
          <w:strike w:val="0"/>
          <w:dstrike w:val="0"/>
          <w:color w:val="auto"/>
          <w:sz w:val="32"/>
          <w:szCs w:val="32"/>
          <w:highlight w:val="none"/>
        </w:rPr>
        <w:t>年按病种分值付费基数增长超过5%部分不纳入）和三级医疗机构的比例关系确定；当年系数低于上年时，按上年系数确定</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color w:val="auto"/>
          <w:sz w:val="32"/>
          <w:szCs w:val="32"/>
        </w:rPr>
        <w:t>一、二级医疗机构基本系数不得超过三级医疗机构的初始基本系数，不低于</w:t>
      </w:r>
      <w:r>
        <w:rPr>
          <w:rFonts w:hint="eastAsia" w:ascii="仿宋_GB2312" w:hAnsi="仿宋_GB2312" w:eastAsia="仿宋_GB2312" w:cs="仿宋_GB2312"/>
          <w:color w:val="auto"/>
          <w:sz w:val="32"/>
          <w:szCs w:val="32"/>
          <w:lang w:val="en-US" w:eastAsia="zh-CN"/>
        </w:rPr>
        <w:t>本级别</w:t>
      </w:r>
      <w:r>
        <w:rPr>
          <w:rFonts w:hint="eastAsia" w:ascii="仿宋_GB2312" w:hAnsi="仿宋_GB2312" w:eastAsia="仿宋_GB2312" w:cs="仿宋_GB2312"/>
          <w:color w:val="auto"/>
          <w:sz w:val="32"/>
          <w:szCs w:val="32"/>
        </w:rPr>
        <w:t>初始基本系数。</w:t>
      </w:r>
    </w:p>
    <w:p w14:paraId="50EE30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康复类：分值表分值为各级医疗机构的最终得分，不再乘以医疗机构系数</w:t>
      </w:r>
    </w:p>
    <w:p w14:paraId="37626B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严重精神障碍类：云浮市（罗定）第三人民医院为0.97、新兴县第三人民医院为0.9、郁南县民安精神康复医院为0.91、云浮民安精神病医院为0.9、云浮市云安区人民医院为0.9、罗定康嘉精神病医院为0.9、罗定怡宁医院为0.9、罗定恒爱脑科医院为0.7。</w:t>
      </w:r>
    </w:p>
    <w:p w14:paraId="20888A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今后年度定点医疗机构基本系数没有调整之前按202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年基本系数执行，如需调整，将由市医保部门按照上述办法和上级相关政策规定进行修改完善。</w:t>
      </w:r>
    </w:p>
    <w:p w14:paraId="00B01C84">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 设立CMI加成系数、老年患者比例加成系数、儿科患者比例加成系数、医院技术水平加成系数、广东省高水平医院重点建设单位加成系数等加成系数（加成系数设置细则详见附件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7EDEAA4C">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第二十一条 新增定点医疗机构当年度系数取相应级别初始基本系数，不进行加成。</w:t>
      </w:r>
    </w:p>
    <w:p w14:paraId="74433722">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第二十二条 基层病种不执行定点医疗机构系数。</w:t>
      </w:r>
    </w:p>
    <w:p w14:paraId="001CBCC9">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41511EB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第五章  月度预付</w:t>
      </w:r>
    </w:p>
    <w:p w14:paraId="42DFD3F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第二十三条 全市月度预付基金总额为全市上年度统筹基金实际支付医疗机构住院费用总额月平均值。</w:t>
      </w:r>
    </w:p>
    <w:p w14:paraId="7F29BBD8">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第二十四条 各医疗机构月度预付根据月基金付费总额及当月全市病种分数总和进行。</w:t>
      </w:r>
    </w:p>
    <w:p w14:paraId="41431BF1">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第二十五条 </w:t>
      </w:r>
      <w:r>
        <w:rPr>
          <w:rFonts w:hint="eastAsia" w:ascii="仿宋_GB2312" w:hAnsi="仿宋_GB2312" w:eastAsia="仿宋_GB2312" w:cs="仿宋_GB2312"/>
          <w:color w:val="auto"/>
          <w:sz w:val="32"/>
          <w:szCs w:val="32"/>
          <w:lang w:val="en-US" w:eastAsia="zh-CN"/>
        </w:rPr>
        <w:t>当月的</w:t>
      </w:r>
      <w:r>
        <w:rPr>
          <w:rFonts w:hint="eastAsia" w:ascii="仿宋_GB2312" w:hAnsi="仿宋_GB2312" w:eastAsia="仿宋_GB2312" w:cs="仿宋_GB2312"/>
          <w:color w:val="auto"/>
          <w:sz w:val="32"/>
          <w:szCs w:val="32"/>
        </w:rPr>
        <w:t>月度预付总额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医保经办机构</w:t>
      </w:r>
      <w:r>
        <w:rPr>
          <w:rFonts w:hint="eastAsia" w:ascii="仿宋_GB2312" w:hAnsi="仿宋_GB2312" w:eastAsia="仿宋_GB2312" w:cs="仿宋_GB2312"/>
          <w:color w:val="auto"/>
          <w:sz w:val="32"/>
          <w:szCs w:val="32"/>
          <w:lang w:val="en-US" w:eastAsia="zh-CN"/>
        </w:rPr>
        <w:t>在次</w:t>
      </w:r>
      <w:r>
        <w:rPr>
          <w:rFonts w:hint="eastAsia" w:ascii="仿宋_GB2312" w:hAnsi="仿宋_GB2312" w:eastAsia="仿宋_GB2312" w:cs="仿宋_GB2312"/>
          <w:color w:val="auto"/>
          <w:sz w:val="32"/>
          <w:szCs w:val="32"/>
        </w:rPr>
        <w:t>月25日前将95%支付给医疗机构，剩余5%作为医疗服务质量保证金，按医疗服务质量考评结果支付给医疗机构。</w:t>
      </w:r>
    </w:p>
    <w:p w14:paraId="42268E4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第二十六条 医保经办机构根据基金及各医疗机构的运行情况，可适当调整月度预付额。</w:t>
      </w:r>
    </w:p>
    <w:p w14:paraId="628E9BA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2C1C786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第六章  审核结算</w:t>
      </w:r>
    </w:p>
    <w:p w14:paraId="0394D28F">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第二十七条 病种基础分值按照病种库对应的疾病及操作取得。</w:t>
      </w:r>
    </w:p>
    <w:p w14:paraId="1ED81CE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病种床日</w:t>
      </w:r>
      <w:r>
        <w:rPr>
          <w:rFonts w:hint="eastAsia" w:ascii="仿宋_GB2312" w:hAnsi="仿宋_GB2312" w:eastAsia="仿宋_GB2312" w:cs="仿宋_GB2312"/>
          <w:color w:val="auto"/>
          <w:sz w:val="32"/>
          <w:szCs w:val="32"/>
          <w:lang w:val="en-US" w:eastAsia="zh-CN"/>
        </w:rPr>
        <w:t>分值</w:t>
      </w:r>
      <w:r>
        <w:rPr>
          <w:rFonts w:hint="eastAsia" w:ascii="仿宋_GB2312" w:hAnsi="仿宋_GB2312" w:eastAsia="仿宋_GB2312" w:cs="仿宋_GB2312"/>
          <w:color w:val="auto"/>
          <w:sz w:val="32"/>
          <w:szCs w:val="32"/>
        </w:rPr>
        <w:t>结算分值=总床日数（出院时间－入院时间或康复治疗开始时间）×床日基础分值×医疗机构系数</w:t>
      </w:r>
    </w:p>
    <w:p w14:paraId="73CD6027">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床日分值结算不纳入辅助分型病种和费用偏差率、特例单议计算范围。</w:t>
      </w:r>
    </w:p>
    <w:p w14:paraId="13C89E8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第二十八条 辅助分型病种分值=病种基础分值×(1+辅助目录调整系数)。费用偏差率</w:t>
      </w:r>
      <w:r>
        <w:rPr>
          <w:rFonts w:hint="eastAsia" w:ascii="仿宋_GB2312" w:hAnsi="仿宋_GB2312" w:eastAsia="仿宋_GB2312" w:cs="仿宋_GB2312"/>
          <w:color w:val="auto"/>
          <w:sz w:val="32"/>
          <w:szCs w:val="32"/>
          <w:lang w:val="en-US" w:eastAsia="zh-CN"/>
        </w:rPr>
        <w:t>在0.5</w:t>
      </w:r>
      <w:r>
        <w:rPr>
          <w:rFonts w:hint="eastAsia" w:ascii="仿宋_GB2312" w:hAnsi="仿宋_GB2312" w:eastAsia="仿宋_GB2312" w:cs="仿宋_GB2312"/>
          <w:color w:val="auto"/>
          <w:sz w:val="32"/>
          <w:szCs w:val="32"/>
        </w:rPr>
        <w:t>倍以上、2倍以下</w:t>
      </w:r>
      <w:r>
        <w:rPr>
          <w:rFonts w:hint="eastAsia" w:ascii="仿宋_GB2312" w:hAnsi="仿宋_GB2312" w:eastAsia="仿宋_GB2312" w:cs="仿宋_GB2312"/>
          <w:color w:val="auto"/>
          <w:sz w:val="32"/>
          <w:szCs w:val="32"/>
          <w:lang w:val="en-US" w:eastAsia="zh-CN"/>
        </w:rPr>
        <w:t>的病例纳入辅助分型调整病例。</w:t>
      </w:r>
      <w:r>
        <w:rPr>
          <w:rFonts w:hint="eastAsia" w:ascii="仿宋_GB2312" w:hAnsi="仿宋_GB2312" w:eastAsia="仿宋_GB2312" w:cs="仿宋_GB2312"/>
          <w:color w:val="auto"/>
          <w:sz w:val="32"/>
          <w:szCs w:val="32"/>
        </w:rPr>
        <w:t>辅助目录调整系数设置细则详见附件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，市医保部门可根据我市疾病谱实际情况适时调整。</w:t>
      </w:r>
    </w:p>
    <w:p w14:paraId="3CD48CC3">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第二十九条 计算每个病例的住院总费用与同级别定点医疗机构上一年度该病种次均住院总费用的偏差率，当偏差率较大时，按以下方法计算分值：</w:t>
      </w:r>
    </w:p>
    <w:p w14:paraId="4D7BA43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（一）非基层病种</w:t>
      </w:r>
      <w:r>
        <w:rPr>
          <w:rFonts w:hint="eastAsia" w:ascii="仿宋_GB2312" w:hAnsi="仿宋_GB2312" w:eastAsia="仿宋_GB2312" w:cs="仿宋_GB2312"/>
          <w:color w:val="auto"/>
          <w:sz w:val="32"/>
          <w:szCs w:val="32"/>
          <w:lang w:val="en-US" w:eastAsia="zh-CN"/>
        </w:rPr>
        <w:t>的费用偏差率=</w:t>
      </w:r>
      <w:r>
        <w:rPr>
          <w:rFonts w:hint="eastAsia" w:ascii="仿宋_GB2312" w:hAnsi="仿宋_GB2312" w:eastAsia="仿宋_GB2312" w:cs="仿宋_GB2312"/>
          <w:color w:val="auto"/>
          <w:sz w:val="32"/>
          <w:szCs w:val="32"/>
        </w:rPr>
        <w:t>该病例当次住院医疗费用÷同级别定点医疗机构上一年度该病种次均住院总费用</w:t>
      </w:r>
    </w:p>
    <w:p w14:paraId="66990693">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（二）基层病种</w:t>
      </w:r>
      <w:r>
        <w:rPr>
          <w:rFonts w:hint="eastAsia" w:ascii="仿宋_GB2312" w:hAnsi="仿宋_GB2312" w:eastAsia="仿宋_GB2312" w:cs="仿宋_GB2312"/>
          <w:color w:val="auto"/>
          <w:sz w:val="32"/>
          <w:szCs w:val="32"/>
          <w:lang w:val="en-US" w:eastAsia="zh-CN"/>
        </w:rPr>
        <w:t>费用偏差率=</w:t>
      </w:r>
      <w:r>
        <w:rPr>
          <w:rFonts w:hint="eastAsia" w:ascii="仿宋_GB2312" w:hAnsi="仿宋_GB2312" w:eastAsia="仿宋_GB2312" w:cs="仿宋_GB2312"/>
          <w:color w:val="auto"/>
          <w:sz w:val="32"/>
          <w:szCs w:val="32"/>
        </w:rPr>
        <w:t>该病例当次住院医疗费用÷全市定点医疗机构上</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年度该病种次均住院总费用</w:t>
      </w:r>
    </w:p>
    <w:p w14:paraId="46DFFC78">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如上年度同等级医疗机构无该病种时，取当前年度同等级机构该病种次均费用。</w:t>
      </w:r>
    </w:p>
    <w:p w14:paraId="3DC1176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当偏差率&lt;0.5时，该病例分值=病种基础分值×偏差率;</w:t>
      </w:r>
    </w:p>
    <w:p w14:paraId="2623DAD8">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当偏差率&gt;2时，该病例的病种分值=(偏差率-1)×</w:t>
      </w:r>
      <w:r>
        <w:rPr>
          <w:rFonts w:hint="eastAsia" w:ascii="仿宋_GB2312" w:hAnsi="仿宋_GB2312" w:eastAsia="仿宋_GB2312" w:cs="仿宋_GB2312"/>
          <w:color w:val="auto"/>
          <w:sz w:val="32"/>
          <w:szCs w:val="32"/>
          <w:lang w:val="en-US" w:eastAsia="zh-CN"/>
        </w:rPr>
        <w:t>病种</w:t>
      </w:r>
      <w:r>
        <w:rPr>
          <w:rFonts w:hint="eastAsia" w:ascii="仿宋_GB2312" w:hAnsi="仿宋_GB2312" w:eastAsia="仿宋_GB2312" w:cs="仿宋_GB2312"/>
          <w:color w:val="auto"/>
          <w:sz w:val="32"/>
          <w:szCs w:val="32"/>
        </w:rPr>
        <w:t>基础分值;</w:t>
      </w:r>
    </w:p>
    <w:p w14:paraId="060AFCD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第三十条 建立特例单议评议机制。</w:t>
      </w:r>
      <w:r>
        <w:rPr>
          <w:rFonts w:hint="eastAsia" w:ascii="仿宋_GB2312" w:hAnsi="仿宋_GB2312" w:eastAsia="仿宋_GB2312" w:cs="仿宋_GB2312"/>
          <w:strike w:val="0"/>
          <w:dstrike w:val="0"/>
          <w:color w:val="auto"/>
          <w:sz w:val="32"/>
          <w:szCs w:val="32"/>
        </w:rPr>
        <w:t>定点医疗机构可向市医保经办机构申请按特殊病例计算分值，</w:t>
      </w:r>
      <w:r>
        <w:rPr>
          <w:rFonts w:hint="eastAsia" w:ascii="仿宋_GB2312" w:hAnsi="仿宋_GB2312" w:eastAsia="仿宋_GB2312" w:cs="仿宋_GB2312"/>
          <w:color w:val="auto"/>
          <w:sz w:val="32"/>
          <w:szCs w:val="32"/>
        </w:rPr>
        <w:t>该类病例由市医保经办机构组织专家评议，对评审通过的病例，按实际费用结算；对评审不通过的病例，按原病种分值进行结算。</w:t>
      </w:r>
      <w:r>
        <w:rPr>
          <w:rFonts w:hint="eastAsia" w:ascii="仿宋_GB2312" w:hAnsi="仿宋_GB2312" w:eastAsia="仿宋_GB2312" w:cs="仿宋_GB2312"/>
          <w:color w:val="auto"/>
          <w:sz w:val="32"/>
          <w:szCs w:val="32"/>
          <w:lang w:val="en-US" w:eastAsia="zh-CN"/>
        </w:rPr>
        <w:t>具体实施按《云浮市按病种分值付费（DIP）特例单议工作实施细则》执行。</w:t>
      </w:r>
    </w:p>
    <w:p w14:paraId="1FC01CD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trike/>
          <w:dstrike w:val="0"/>
          <w:color w:val="auto"/>
          <w:sz w:val="32"/>
          <w:szCs w:val="32"/>
        </w:rPr>
      </w:pPr>
      <w:r>
        <w:rPr>
          <w:rFonts w:hint="default" w:ascii="仿宋_GB2312" w:hAnsi="仿宋_GB2312" w:eastAsia="仿宋_GB2312" w:cs="仿宋_GB2312"/>
          <w:color w:val="auto"/>
          <w:sz w:val="32"/>
          <w:szCs w:val="32"/>
          <w:lang w:val="en-US" w:eastAsia="zh-CN"/>
        </w:rPr>
        <w:t>特殊病例申请的数量、审核通过的数量等信息要及时向各定点医疗机构公布。定点医疗机构申请的特殊病例数不得超过各定点医疗机构当年度DIP结算人次数的5‰（四舍五入至个位，不足1人次的，可按1人次计算）。</w:t>
      </w:r>
    </w:p>
    <w:p w14:paraId="1F3DEB3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第三十一条 </w:t>
      </w:r>
      <w:r>
        <w:rPr>
          <w:rFonts w:hint="eastAsia" w:ascii="仿宋_GB2312" w:hAnsi="仿宋_GB2312" w:eastAsia="仿宋_GB2312" w:cs="仿宋_GB2312"/>
          <w:color w:val="auto"/>
          <w:sz w:val="32"/>
          <w:szCs w:val="32"/>
          <w:lang w:val="en-US" w:eastAsia="zh-CN"/>
        </w:rPr>
        <w:t>特例单议</w:t>
      </w:r>
      <w:r>
        <w:rPr>
          <w:rFonts w:hint="eastAsia" w:ascii="仿宋_GB2312" w:hAnsi="仿宋_GB2312" w:eastAsia="仿宋_GB2312" w:cs="仿宋_GB2312"/>
          <w:color w:val="auto"/>
          <w:sz w:val="32"/>
          <w:szCs w:val="32"/>
        </w:rPr>
        <w:t>病例应至少满足以下一个条件：</w:t>
      </w:r>
    </w:p>
    <w:p w14:paraId="3EDA9A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（一）住院时间长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包括但不限于单次住院时间超过60天、单次住院时间超过上年度同级别定点医疗机构该病组（种）平均住院天数5倍（含）、监护病房床位使用天数超过该病例住院床位使用总天数60%（含）；</w:t>
      </w:r>
    </w:p>
    <w:p w14:paraId="38C23DC7">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（二）复杂危重症，消耗医疗资源过高</w:t>
      </w:r>
      <w:r>
        <w:rPr>
          <w:rFonts w:hint="eastAsia" w:ascii="仿宋_GB2312" w:hAnsi="仿宋_GB2312" w:eastAsia="仿宋_GB2312" w:cs="仿宋_GB2312"/>
          <w:color w:val="auto"/>
          <w:sz w:val="32"/>
          <w:szCs w:val="32"/>
          <w:lang w:eastAsia="zh-CN"/>
        </w:rPr>
        <w:t>：包括但不限于急危重症抢救等导致单次住院费用超过该病组（种）支付标准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倍及以上的</w:t>
      </w:r>
      <w:r>
        <w:rPr>
          <w:rFonts w:hint="eastAsia" w:ascii="仿宋_GB2312" w:hAnsi="仿宋_GB2312" w:eastAsia="仿宋_GB2312" w:cs="仿宋_GB2312"/>
          <w:color w:val="auto"/>
          <w:sz w:val="32"/>
          <w:szCs w:val="32"/>
        </w:rPr>
        <w:t>;</w:t>
      </w:r>
    </w:p>
    <w:p w14:paraId="3278DB0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（三）多学科联合诊疗或转科诊疗的病例，需两个学科以上进行联合手术或者操作的病例等；</w:t>
      </w:r>
    </w:p>
    <w:p w14:paraId="2EB3F369">
      <w:pPr>
        <w:keepNext w:val="0"/>
        <w:keepLines w:val="0"/>
        <w:pageBreakBefore w:val="0"/>
        <w:wordWrap/>
        <w:overflowPunct/>
        <w:topLinePunct w:val="0"/>
        <w:bidi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（四）使用新药耗新技术导致医疗费用高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包括但不限于使用未进行国家、省集采/谈判的药品和耗材费用较高的病例；</w:t>
      </w:r>
    </w:p>
    <w:p w14:paraId="42E69A78">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（五）现行分组方案未能包含的病例;</w:t>
      </w:r>
    </w:p>
    <w:p w14:paraId="102DE78F">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trike/>
          <w:dstrike w:val="0"/>
          <w:color w:val="auto"/>
          <w:sz w:val="32"/>
          <w:szCs w:val="32"/>
        </w:rPr>
      </w:pPr>
      <w:r>
        <w:rPr>
          <w:rFonts w:hint="eastAsia" w:ascii="仿宋_GB2312" w:hAnsi="仿宋_GB2312" w:eastAsia="仿宋_GB2312" w:cs="仿宋_GB2312"/>
          <w:color w:val="auto"/>
          <w:sz w:val="32"/>
          <w:szCs w:val="32"/>
        </w:rPr>
        <w:t>（六）医保部门明确的其他情况。</w:t>
      </w:r>
    </w:p>
    <w:p w14:paraId="28DAF658">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第三十三条 当年度分值</w:t>
      </w:r>
      <w:r>
        <w:rPr>
          <w:rFonts w:hint="eastAsia" w:ascii="仿宋_GB2312" w:hAnsi="仿宋_GB2312" w:eastAsia="仿宋_GB2312" w:cs="仿宋_GB2312"/>
          <w:strike w:val="0"/>
          <w:dstrike w:val="0"/>
          <w:color w:val="auto"/>
          <w:sz w:val="32"/>
          <w:szCs w:val="32"/>
        </w:rPr>
        <w:t>点值</w:t>
      </w:r>
      <w:r>
        <w:rPr>
          <w:rFonts w:hint="eastAsia" w:ascii="仿宋_GB2312" w:hAnsi="仿宋_GB2312" w:eastAsia="仿宋_GB2312" w:cs="仿宋_GB2312"/>
          <w:color w:val="auto"/>
          <w:sz w:val="32"/>
          <w:szCs w:val="32"/>
        </w:rPr>
        <w:t>的确定：</w:t>
      </w:r>
    </w:p>
    <w:p w14:paraId="76E46AF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rPr>
        <w:t>全市按病种分值付费病例基金支付率=全市按病种分值付费病例基金支付记账费用/全市按病种分值付费病例总医疗费用。</w:t>
      </w:r>
    </w:p>
    <w:p w14:paraId="0C30360B">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rPr>
        <w:t>全市按病种分值付费病例总费用=分值付费可支付总额/全市按病种分值付费病例基金支付率。</w:t>
      </w:r>
    </w:p>
    <w:p w14:paraId="7ECA6C8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rPr>
        <w:t>当年度分值点值=全市按病种分值付费病例总费用/(各定点医疗机构病种分值总和-各定点医疗机构违规扣减分值)。</w:t>
      </w:r>
    </w:p>
    <w:p w14:paraId="028BC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right="0" w:firstLine="640" w:firstLineChars="200"/>
        <w:jc w:val="left"/>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color w:val="auto"/>
          <w:sz w:val="32"/>
          <w:szCs w:val="32"/>
        </w:rPr>
        <w:t xml:space="preserve">第三十四条 </w:t>
      </w:r>
      <w:r>
        <w:rPr>
          <w:rFonts w:hint="eastAsia" w:ascii="仿宋_GB2312" w:hAnsi="仿宋_GB2312" w:eastAsia="仿宋_GB2312" w:cs="仿宋_GB2312"/>
          <w:strike w:val="0"/>
          <w:dstrike w:val="0"/>
          <w:color w:val="auto"/>
          <w:sz w:val="32"/>
          <w:szCs w:val="32"/>
        </w:rPr>
        <w:t>各定点医疗机构年度清算费用=〔（参保人住院所属DIP组的病组支付标准-自费费用-个人先自付费用-起付线）*医保报销比例〕-违规扣减费用。</w:t>
      </w:r>
    </w:p>
    <w:p w14:paraId="5498D903">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trike w:val="0"/>
          <w:dstrike w:val="0"/>
          <w:color w:val="auto"/>
          <w:sz w:val="32"/>
          <w:szCs w:val="32"/>
        </w:rPr>
        <w:t>病组支付标准=DIP分值×分值点值。</w:t>
      </w:r>
    </w:p>
    <w:p w14:paraId="4B9B5401">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第三十五条 对各定点医疗机构据实结算的统筹基金支付金额与按DIP分值计算的年度统筹基金应支付额进行比较(统称“清算比例”)后，按如下方式确定各定点医疗机构病种分值费用年度统筹基金决算金额：</w:t>
      </w:r>
    </w:p>
    <w:p w14:paraId="7C8B28AB">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清算比例低于70%(不含)的，将据实结算的统筹基金支付金额作为决算金额。</w:t>
      </w:r>
    </w:p>
    <w:p w14:paraId="51BC2A21">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清算比例在70%—90%(不含)之间的，按照据实结算的统筹基金支付金额的110%作为决算金额。</w:t>
      </w:r>
    </w:p>
    <w:p w14:paraId="171277D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清算比例在90%—100%(不含)之间的，按病种分值计算的年度统筹基金应支付额作为决算金额。</w:t>
      </w:r>
    </w:p>
    <w:p w14:paraId="16A34EAF">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清算比例在100%(含)以上的，按病种分值计算的年度统筹基金应支付额作为决算金额。</w:t>
      </w:r>
    </w:p>
    <w:p w14:paraId="3F7161A4">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第三十六条 定点医疗机构清算结果，预拨付和月度预结算大于年终决算金额的，则为医保基金超统筹支付费用，各定点医疗机构应返还医疗保险基金。</w:t>
      </w:r>
    </w:p>
    <w:p w14:paraId="5F91A24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第三十七条 按照分级管理考评结果，返还按病种分值付费</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医疗服务质量保证金。</w:t>
      </w:r>
    </w:p>
    <w:p w14:paraId="0F5A0F37">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33A6F66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第七章  管理与监督</w:t>
      </w:r>
    </w:p>
    <w:p w14:paraId="266FC2C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第三十八条 市医保部门成立DIP支付方式改革评议组织，按照《广东省医保支付制度评议组织议事规则》要求，对病种范围、分值、医疗机构系数、年度医保总分值、特殊病例及其他医保支付制度有关事项进行评议。</w:t>
      </w:r>
    </w:p>
    <w:p w14:paraId="06273FF8">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第三十九条 医疗机构应配合DIP支付方式改革的工作要求，向医保经办机构实时上传参保人医疗费用明细，并在病人出院后10天内上传该参保人按照诊断编码(ICD-10医保版)和手术操作编码(ICD-9-CM3医保版)的结算清单。</w:t>
      </w:r>
    </w:p>
    <w:p w14:paraId="68D5EA58">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第四十条 医保经办机构应不定期组织专家对医疗机构DIP支付方式改革工作开展检查，并实行病案定期审核制度。</w:t>
      </w:r>
    </w:p>
    <w:p w14:paraId="7A05395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第四十一条 医疗机构有分解住院、高套分值等违规行为的，本次住院不计算病种分数，并按该次住院上传病种分数的2-5倍予以扣分；违反法律法规的，按规定移交相关行政部门处理；构成犯罪的，依法移交司法部门追究相应法律责任。</w:t>
      </w:r>
    </w:p>
    <w:p w14:paraId="7CA5CA2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第四十二条 医疗机构要严格按有关规定提供基本医疗服务，若使用超出基本医疗范围的医疗服务和用药，需由患者或其家属签字同意。</w:t>
      </w:r>
    </w:p>
    <w:p w14:paraId="5B29B793">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第四十三条 医疗机构年度考核设定五项考核指标，医疗机构年度住院总费用低于500万元的不参加指标考核。</w:t>
      </w:r>
    </w:p>
    <w:p w14:paraId="14EEE28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第四十四条 各医疗机构职工医保和居民医保的住院总费用增长率控制指标为≤10%，超出1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%部分在当年年度结算时折算为分数进行扣减。超过10%的部分不纳入DIP支付方式付费总额计算基数。</w:t>
      </w:r>
    </w:p>
    <w:p w14:paraId="029A39CC">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医疗机构当年住院总费用基数=该医疗机构上年住院总费用–该医疗机构当年增长超标部分；</w:t>
      </w:r>
    </w:p>
    <w:p w14:paraId="341C00B3">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医疗机构住院总费用增长率＝该医疗机构当年住院总费用÷该医疗机构上年住院总费用基数×100%–100%；</w:t>
      </w:r>
    </w:p>
    <w:p w14:paraId="6569C84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医疗机构住院总费用增长超出扣分＝当年住院总费用×（住院总费用增长率–1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 xml:space="preserve">%）÷上年度分值点值。 </w:t>
      </w:r>
    </w:p>
    <w:p w14:paraId="029998A1">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第四十五条 以下情况由市医保经办机构核实，报市医保部门核准备案后，两个医保年度内不考核住院总费用增长率：</w:t>
      </w:r>
    </w:p>
    <w:p w14:paraId="06D20E0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1.经卫健部门批准增加床位数≥30%且医护人员等相关配置符合国家、省有关规定的；</w:t>
      </w:r>
    </w:p>
    <w:p w14:paraId="26BBEB9B">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2.医疗机构等级变更的；</w:t>
      </w:r>
    </w:p>
    <w:p w14:paraId="143680C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3.被上级医疗机构托管的。</w:t>
      </w:r>
    </w:p>
    <w:p w14:paraId="1399E72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第四十六条 不考核住院总费用增长率的医疗机构，当年住院总费用增长超过20%的部分不纳入次年住院总费用基数计算范围。</w:t>
      </w:r>
    </w:p>
    <w:p w14:paraId="47A0ADEF">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第四十七条 各医疗机构职工医保和居民医保的年度重复住院率控制指标为≤20%，重复住院率＞20%的，超出部分在当年年度结算时折算为病种分数进行扣减。</w:t>
      </w:r>
    </w:p>
    <w:p w14:paraId="710CC010">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医疗机构重复住院人次＝该医疗机构住院总人次–该医疗机构住院总人数；</w:t>
      </w:r>
    </w:p>
    <w:p w14:paraId="4700742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医疗机构重复住院率＝该医疗机构重复住院人次÷该医疗机构住院总人次×100%；</w:t>
      </w:r>
    </w:p>
    <w:p w14:paraId="14D6971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医疗机构重复住院率超出扣分＝（该医疗机构重复住院率–20%）×当年该医疗机构总得分。</w:t>
      </w:r>
    </w:p>
    <w:p w14:paraId="5DF4B3B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第四十八条 各医疗机构职工医保和居民医保参保人住院，大型设备（CT、MRI）检查阳性率控制指标为≥70%。大型设备检查阳性率低于考核指标的，在当年年度结算时折算为病种分数扣减。</w:t>
      </w:r>
    </w:p>
    <w:p w14:paraId="165C7C21">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医疗机构大型设备检查阳性率超出费用＝（考核指标–当年该医疗机构大型设备检查阳性率）×当年该医疗机构大型设备检查总费用；</w:t>
      </w:r>
    </w:p>
    <w:p w14:paraId="5F7ADF4C">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医疗机构大型设备检查阳性率超出扣分＝该医疗机构大型设备检查阳性率超出费用÷上年度分值</w:t>
      </w:r>
      <w:r>
        <w:rPr>
          <w:rFonts w:hint="eastAsia" w:ascii="仿宋_GB2312" w:hAnsi="仿宋_GB2312" w:eastAsia="仿宋_GB2312" w:cs="仿宋_GB2312"/>
          <w:strike w:val="0"/>
          <w:dstrike w:val="0"/>
          <w:color w:val="auto"/>
          <w:sz w:val="32"/>
          <w:szCs w:val="32"/>
        </w:rPr>
        <w:t>点值</w:t>
      </w:r>
      <w:r>
        <w:rPr>
          <w:rFonts w:hint="eastAsia" w:ascii="仿宋_GB2312" w:hAnsi="仿宋_GB2312" w:eastAsia="仿宋_GB2312" w:cs="仿宋_GB2312"/>
          <w:color w:val="auto"/>
          <w:sz w:val="32"/>
          <w:szCs w:val="32"/>
        </w:rPr>
        <w:t xml:space="preserve">。 </w:t>
      </w:r>
    </w:p>
    <w:p w14:paraId="1D3775B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第四十九条 各医疗机构职工医保和居民医保年度自费项目费用占住院总费用的比例控制指标为：三级医疗机构15%，二级医疗机构10%，一级医疗机构8%。超出部分费用折算为病种分数进行扣减。</w:t>
      </w:r>
    </w:p>
    <w:p w14:paraId="443182EB">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医疗机构超出费用总额=（该医疗机构年度自费项目费用总额÷该医疗机构年度住院总费用–对应控制比例）×该医疗机构年度住院总费用；</w:t>
      </w:r>
    </w:p>
    <w:p w14:paraId="3E22611B">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医疗机构超出费用扣分=当年该医疗机构超出费用总额÷上年度分值</w:t>
      </w:r>
      <w:r>
        <w:rPr>
          <w:rFonts w:hint="eastAsia" w:ascii="仿宋_GB2312" w:hAnsi="仿宋_GB2312" w:eastAsia="仿宋_GB2312" w:cs="仿宋_GB2312"/>
          <w:strike w:val="0"/>
          <w:dstrike w:val="0"/>
          <w:color w:val="auto"/>
          <w:sz w:val="32"/>
          <w:szCs w:val="32"/>
        </w:rPr>
        <w:t>点值</w:t>
      </w:r>
      <w:r>
        <w:rPr>
          <w:rFonts w:hint="eastAsia" w:ascii="仿宋_GB2312" w:hAnsi="仿宋_GB2312" w:eastAsia="仿宋_GB2312" w:cs="仿宋_GB2312"/>
          <w:color w:val="auto"/>
          <w:sz w:val="32"/>
          <w:szCs w:val="32"/>
        </w:rPr>
        <w:t>。</w:t>
      </w:r>
    </w:p>
    <w:p w14:paraId="5F3103D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第五十条 分职工医保和居民医保对各医疗机构全年零星报销病案数量（不含6个月以下新生儿、因交通事故或第三方责任的病案）进行考核，各医疗机构全年零星报销病案比例控制指标为三级医疗机构≤7%、二级医疗机构≤5%、一级医疗机构≤3%，超出控制部分折算为病种分数进行扣减。</w:t>
      </w:r>
    </w:p>
    <w:p w14:paraId="7B747A09">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医疗机构零星报销病案比例＝该医疗机构零星报销病案数量÷该医疗机构纳入分值结算病案数量×100%；</w:t>
      </w:r>
    </w:p>
    <w:p w14:paraId="6D4D06F5">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医疗机构零星报销病案比例超标扣分＝（该医疗机构零星报销病案比例－对应控制指标）×当年该医疗机构住院总得分。</w:t>
      </w:r>
    </w:p>
    <w:p w14:paraId="6CB3A36E">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第五十一条 根据本办法考核得分低于该医疗机构病种总分数60%的，按该医疗机构病种总分数的60%纳入年终结算。</w:t>
      </w:r>
    </w:p>
    <w:p w14:paraId="72C8AB7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strike/>
          <w:dstrike w:val="0"/>
          <w:color w:val="auto"/>
          <w:sz w:val="32"/>
          <w:szCs w:val="32"/>
        </w:rPr>
      </w:pPr>
    </w:p>
    <w:p w14:paraId="76C203C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0087050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trike/>
          <w:dstrike w:val="0"/>
          <w:color w:val="auto"/>
          <w:sz w:val="32"/>
          <w:szCs w:val="32"/>
        </w:rPr>
      </w:pPr>
      <w:r>
        <w:rPr>
          <w:rFonts w:hint="eastAsia" w:ascii="黑体" w:hAnsi="黑体" w:eastAsia="黑体" w:cs="黑体"/>
          <w:color w:val="auto"/>
          <w:sz w:val="32"/>
          <w:szCs w:val="32"/>
        </w:rPr>
        <w:t>第八章  其他</w:t>
      </w:r>
    </w:p>
    <w:p w14:paraId="092B8F0A">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第五十四条 各定点医疗机构应真实、及时、规范、完整填写医疗保障基金结算清单、病案首页，准确反映住院期间诊疗信息。各定点医疗机构应按照DIP付费数据传输接口标准，在规定的时间内上传结算清单信息。</w:t>
      </w:r>
    </w:p>
    <w:p w14:paraId="51AC4B3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第五十五条 参保人在定点医疗机构住院发生按DIP分值结算的基本医疗费用，未实行联网结算的，参保人在医疗保险经办机构办理零星报销后，统一纳入该定点医疗机构的DIP分值结算，参保人已支付的当次住院全部基本医疗费用计入该医疗机构参保人支付费用总额。</w:t>
      </w:r>
    </w:p>
    <w:p w14:paraId="1F65ADA1">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第五十六条 市内定点医疗机构按以下规定预拨医保周转金：纳入我市医疗服务质量考核的医疗机构：800分（含）以上的，支付该定点医疗机构上年度医保住院医疗费用实际结算额的（下同）11%；700分（含）－800分（不含），支付10%；700分（不含）以下的，支付9%。没有纳入我市医疗服务质量考核的镇卫生院（社区卫生服务中心）列入预拨医保周转金范围，按该定点医疗机构上年度医保费用实际结算额的8%预拨。</w:t>
      </w:r>
    </w:p>
    <w:p w14:paraId="264E739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定点医疗机构预拨医保周转金计算结果不足5万元的，按5万元预拨。</w:t>
      </w:r>
    </w:p>
    <w:p w14:paraId="3868C857">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第五十七条 预拨的周转金专款专用，用于医保参保人在医疗机构就医结算和支付医疗机构药品采购款。任何机构和个人不得挤占、挪用和借用，每年年末余额结转下一年度抵减周转金额度。</w:t>
      </w:r>
    </w:p>
    <w:p w14:paraId="2DB8EA04">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5B9E046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第九章  附则</w:t>
      </w:r>
    </w:p>
    <w:p w14:paraId="2C4C7FD4">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第五十八条 因突发事件、医疗机构承担大批量急重参保人救治任务等合理超支所发生的医疗费，由医疗机构提出申请，市医保部门牵头，医保支付制度评议组织审核，报市政府批准后，从医保基金历年结余中支付。</w:t>
      </w:r>
    </w:p>
    <w:p w14:paraId="6F5ED06F">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第五十九条 DIP支付方式年度基金付费总额预算方案、年度结算方案由市医保经办机构拟定，报市医保部门核准备案后执行，并向医疗机构公布。</w:t>
      </w:r>
    </w:p>
    <w:p w14:paraId="4916CE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第六十条 本办法自</w:t>
      </w:r>
      <w:r>
        <w:rPr>
          <w:rFonts w:hint="eastAsia" w:ascii="仿宋_GB2312" w:hAnsi="仿宋_GB2312" w:eastAsia="仿宋_GB2312" w:cs="仿宋_GB2312"/>
          <w:strike w:val="0"/>
          <w:dstrike w:val="0"/>
          <w:color w:val="auto"/>
          <w:sz w:val="32"/>
          <w:szCs w:val="32"/>
          <w:lang w:val="en-US" w:eastAsia="zh-CN"/>
        </w:rPr>
        <w:t>2026</w:t>
      </w:r>
      <w:r>
        <w:rPr>
          <w:rFonts w:hint="eastAsia" w:ascii="仿宋_GB2312" w:hAnsi="仿宋_GB2312" w:eastAsia="仿宋_GB2312" w:cs="仿宋_GB2312"/>
          <w:strike w:val="0"/>
          <w:dstrike w:val="0"/>
          <w:color w:val="auto"/>
          <w:sz w:val="32"/>
          <w:szCs w:val="32"/>
        </w:rPr>
        <w:t>年1月1日</w:t>
      </w:r>
      <w:r>
        <w:rPr>
          <w:rFonts w:hint="eastAsia" w:ascii="仿宋_GB2312" w:hAnsi="仿宋_GB2312" w:eastAsia="仿宋_GB2312" w:cs="仿宋_GB2312"/>
          <w:color w:val="auto"/>
          <w:sz w:val="32"/>
          <w:szCs w:val="32"/>
        </w:rPr>
        <w:t>开始实施，有效期至</w:t>
      </w:r>
      <w:r>
        <w:rPr>
          <w:rFonts w:hint="eastAsia" w:ascii="仿宋_GB2312" w:hAnsi="仿宋_GB2312" w:eastAsia="仿宋_GB2312" w:cs="仿宋_GB2312"/>
          <w:strike w:val="0"/>
          <w:dstrike w:val="0"/>
          <w:color w:val="auto"/>
          <w:sz w:val="32"/>
          <w:szCs w:val="32"/>
        </w:rPr>
        <w:t>20</w:t>
      </w:r>
      <w:r>
        <w:rPr>
          <w:rFonts w:hint="eastAsia" w:ascii="仿宋_GB2312" w:hAnsi="仿宋_GB2312" w:eastAsia="仿宋_GB2312" w:cs="仿宋_GB2312"/>
          <w:strike w:val="0"/>
          <w:dstrike w:val="0"/>
          <w:color w:val="auto"/>
          <w:sz w:val="32"/>
          <w:szCs w:val="32"/>
          <w:lang w:val="en-US" w:eastAsia="zh-CN"/>
        </w:rPr>
        <w:t>30</w:t>
      </w:r>
      <w:r>
        <w:rPr>
          <w:rFonts w:hint="eastAsia" w:ascii="仿宋_GB2312" w:hAnsi="仿宋_GB2312" w:eastAsia="仿宋_GB2312" w:cs="仿宋_GB2312"/>
          <w:strike w:val="0"/>
          <w:dstrike w:val="0"/>
          <w:color w:val="auto"/>
          <w:sz w:val="32"/>
          <w:szCs w:val="32"/>
        </w:rPr>
        <w:t>年12月31日</w:t>
      </w:r>
      <w:r>
        <w:rPr>
          <w:rFonts w:hint="eastAsia" w:ascii="仿宋_GB2312" w:hAnsi="仿宋_GB2312" w:eastAsia="仿宋_GB2312" w:cs="仿宋_GB2312"/>
          <w:color w:val="auto"/>
          <w:sz w:val="32"/>
          <w:szCs w:val="32"/>
        </w:rPr>
        <w:t>。《云浮市医疗保障局关于印发云浮市按病种分值付费（DIP）结算办法(试行)的通知》（云医保发〔2022〕35号）</w:t>
      </w:r>
      <w:r>
        <w:rPr>
          <w:rFonts w:hint="eastAsia" w:ascii="仿宋_GB2312" w:hAnsi="仿宋_GB2312" w:eastAsia="仿宋_GB2312" w:cs="仿宋_GB2312"/>
          <w:color w:val="auto"/>
          <w:sz w:val="32"/>
          <w:szCs w:val="32"/>
          <w:lang w:eastAsia="zh-CN"/>
        </w:rPr>
        <w:t>《云浮市医疗保障局关于开展康复类病种和严重精神障碍类病种医保支付方式改革的通知》（云医保发〔2024〕11号）</w:t>
      </w:r>
      <w:r>
        <w:rPr>
          <w:rFonts w:hint="eastAsia" w:ascii="仿宋_GB2312" w:hAnsi="仿宋_GB2312" w:eastAsia="仿宋_GB2312" w:cs="仿宋_GB2312"/>
          <w:color w:val="auto"/>
          <w:sz w:val="32"/>
          <w:szCs w:val="32"/>
        </w:rPr>
        <w:t>同时废止。此前市、县（市、区）人民政府及其所属部门制定的有关医保支付方式改革的相关文件，与本办法不一致的，按本办法执行。</w:t>
      </w:r>
    </w:p>
    <w:p w14:paraId="3FE1FBFD">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0409B706">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p>
    <w:p w14:paraId="499E9414">
      <w:pPr>
        <w:keepNext w:val="0"/>
        <w:keepLines w:val="0"/>
        <w:pageBreakBefore w:val="0"/>
        <w:widowControl/>
        <w:kinsoku w:val="0"/>
        <w:wordWrap/>
        <w:overflowPunct/>
        <w:topLinePunct w:val="0"/>
        <w:autoSpaceDE w:val="0"/>
        <w:autoSpaceDN w:val="0"/>
        <w:bidi w:val="0"/>
        <w:adjustRightInd w:val="0"/>
        <w:snapToGrid w:val="0"/>
        <w:spacing w:line="560" w:lineRule="exact"/>
        <w:ind w:firstLine="694"/>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rPr>
        <w:t>云浮市按病种分值付费（DIP）医疗机构加成</w:t>
      </w:r>
    </w:p>
    <w:p w14:paraId="3490B5F0">
      <w:pPr>
        <w:keepNext w:val="0"/>
        <w:keepLines w:val="0"/>
        <w:pageBreakBefore w:val="0"/>
        <w:widowControl/>
        <w:kinsoku w:val="0"/>
        <w:wordWrap/>
        <w:overflowPunct/>
        <w:topLinePunct w:val="0"/>
        <w:autoSpaceDE w:val="0"/>
        <w:autoSpaceDN w:val="0"/>
        <w:bidi w:val="0"/>
        <w:adjustRightInd w:val="0"/>
        <w:snapToGrid w:val="0"/>
        <w:spacing w:line="560" w:lineRule="exact"/>
        <w:ind w:firstLine="1920" w:firstLineChars="6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系数设置细则</w:t>
      </w:r>
    </w:p>
    <w:p w14:paraId="257C588F">
      <w:pPr>
        <w:pStyle w:val="2"/>
        <w:keepNext w:val="0"/>
        <w:keepLines w:val="0"/>
        <w:pageBreakBefore w:val="0"/>
        <w:numPr>
          <w:ilvl w:val="0"/>
          <w:numId w:val="0"/>
        </w:numPr>
        <w:wordWrap/>
        <w:overflowPunct/>
        <w:topLinePunct w:val="0"/>
        <w:bidi w:val="0"/>
        <w:spacing w:line="560" w:lineRule="exact"/>
        <w:ind w:firstLine="1600" w:firstLineChars="5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2.云浮市按病种分值付费（DIP）辅助目录调整</w:t>
      </w:r>
    </w:p>
    <w:p w14:paraId="04E70738">
      <w:pPr>
        <w:pStyle w:val="2"/>
        <w:keepNext w:val="0"/>
        <w:keepLines w:val="0"/>
        <w:pageBreakBefore w:val="0"/>
        <w:numPr>
          <w:ilvl w:val="0"/>
          <w:numId w:val="0"/>
        </w:numPr>
        <w:wordWrap/>
        <w:overflowPunct/>
        <w:topLinePunct w:val="0"/>
        <w:bidi w:val="0"/>
        <w:spacing w:line="560" w:lineRule="exact"/>
        <w:ind w:firstLine="1920" w:firstLineChars="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系数设置细则</w:t>
      </w:r>
    </w:p>
    <w:p w14:paraId="0135846B">
      <w:pPr>
        <w:pStyle w:val="2"/>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color w:val="auto"/>
          <w:kern w:val="2"/>
          <w:sz w:val="32"/>
          <w:szCs w:val="32"/>
          <w:lang w:val="en-US" w:eastAsia="zh-CN" w:bidi="ar-SA"/>
        </w:rPr>
      </w:pPr>
    </w:p>
    <w:p w14:paraId="758765FC">
      <w:pPr>
        <w:pStyle w:val="2"/>
        <w:keepNext w:val="0"/>
        <w:keepLines w:val="0"/>
        <w:pageBreakBefore w:val="0"/>
        <w:wordWrap/>
        <w:overflowPunct/>
        <w:topLinePunct w:val="0"/>
        <w:bidi w:val="0"/>
        <w:spacing w:line="560" w:lineRule="exact"/>
        <w:rPr>
          <w:rFonts w:hint="eastAsia" w:ascii="仿宋_GB2312" w:hAnsi="仿宋_GB2312" w:eastAsia="仿宋_GB2312" w:cs="仿宋_GB2312"/>
          <w:color w:val="auto"/>
          <w:kern w:val="2"/>
          <w:sz w:val="32"/>
          <w:szCs w:val="32"/>
          <w:lang w:val="en-US" w:eastAsia="zh-CN" w:bidi="ar-SA"/>
        </w:rPr>
      </w:pPr>
    </w:p>
    <w:p w14:paraId="03DC1085">
      <w:pPr>
        <w:pStyle w:val="2"/>
        <w:keepNext w:val="0"/>
        <w:keepLines w:val="0"/>
        <w:pageBreakBefore w:val="0"/>
        <w:wordWrap/>
        <w:overflowPunct/>
        <w:topLinePunct w:val="0"/>
        <w:bidi w:val="0"/>
        <w:spacing w:line="560" w:lineRule="exact"/>
        <w:rPr>
          <w:rFonts w:hint="eastAsia" w:ascii="仿宋_GB2312" w:hAnsi="仿宋_GB2312" w:eastAsia="仿宋_GB2312" w:cs="仿宋_GB2312"/>
          <w:color w:val="auto"/>
          <w:kern w:val="2"/>
          <w:sz w:val="32"/>
          <w:szCs w:val="32"/>
          <w:lang w:val="en-US" w:eastAsia="zh-CN" w:bidi="ar-SA"/>
        </w:rPr>
      </w:pPr>
    </w:p>
    <w:p w14:paraId="1D4DFB9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6165198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云浮市按病种分值付费（DIP）医疗机构</w:t>
      </w:r>
    </w:p>
    <w:p w14:paraId="2FE50D3D">
      <w:pPr>
        <w:pStyle w:val="2"/>
        <w:keepNext w:val="0"/>
        <w:keepLines w:val="0"/>
        <w:pageBreakBefore w:val="0"/>
        <w:wordWrap/>
        <w:overflowPunct/>
        <w:topLinePunct w:val="0"/>
        <w:bidi w:val="0"/>
        <w:spacing w:line="560" w:lineRule="exact"/>
        <w:ind w:firstLine="2200" w:firstLineChars="50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加成系数设置细则</w:t>
      </w:r>
    </w:p>
    <w:p w14:paraId="43CEC8E0">
      <w:pPr>
        <w:keepNext w:val="0"/>
        <w:keepLines w:val="0"/>
        <w:pageBreakBefore w:val="0"/>
        <w:widowControl/>
        <w:kinsoku w:val="0"/>
        <w:wordWrap/>
        <w:overflowPunct/>
        <w:topLinePunct w:val="0"/>
        <w:autoSpaceDE w:val="0"/>
        <w:autoSpaceDN w:val="0"/>
        <w:bidi w:val="0"/>
        <w:adjustRightInd w:val="0"/>
        <w:snapToGrid w:val="0"/>
        <w:spacing w:line="560" w:lineRule="exact"/>
        <w:ind w:firstLine="65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加</w:t>
      </w:r>
      <w:r>
        <w:rPr>
          <w:rFonts w:hint="eastAsia" w:ascii="仿宋_GB2312" w:hAnsi="仿宋_GB2312" w:eastAsia="仿宋_GB2312" w:cs="仿宋_GB2312"/>
          <w:color w:val="auto"/>
          <w:spacing w:val="-7"/>
          <w:sz w:val="32"/>
          <w:szCs w:val="32"/>
        </w:rPr>
        <w:t>成系数由CMI加成系数、老年患者比例加成系</w:t>
      </w:r>
      <w:r>
        <w:rPr>
          <w:rFonts w:hint="eastAsia" w:ascii="仿宋_GB2312" w:hAnsi="仿宋_GB2312" w:eastAsia="仿宋_GB2312" w:cs="仿宋_GB2312"/>
          <w:color w:val="auto"/>
          <w:spacing w:val="-12"/>
          <w:sz w:val="32"/>
          <w:szCs w:val="32"/>
        </w:rPr>
        <w:t>数、儿</w:t>
      </w:r>
      <w:r>
        <w:rPr>
          <w:rFonts w:hint="eastAsia" w:ascii="仿宋_GB2312" w:hAnsi="仿宋_GB2312" w:eastAsia="仿宋_GB2312" w:cs="仿宋_GB2312"/>
          <w:color w:val="auto"/>
          <w:spacing w:val="-7"/>
          <w:sz w:val="32"/>
          <w:szCs w:val="32"/>
        </w:rPr>
        <w:t>科</w:t>
      </w:r>
      <w:r>
        <w:rPr>
          <w:rFonts w:hint="eastAsia" w:ascii="仿宋_GB2312" w:hAnsi="仿宋_GB2312" w:eastAsia="仿宋_GB2312" w:cs="仿宋_GB2312"/>
          <w:color w:val="auto"/>
          <w:spacing w:val="-6"/>
          <w:sz w:val="32"/>
          <w:szCs w:val="32"/>
        </w:rPr>
        <w:t>患者比例加成系数、医疗机构技术水平加成系数、广东省</w:t>
      </w:r>
      <w:r>
        <w:rPr>
          <w:rFonts w:hint="eastAsia" w:ascii="仿宋_GB2312" w:hAnsi="仿宋_GB2312" w:eastAsia="仿宋_GB2312" w:cs="仿宋_GB2312"/>
          <w:color w:val="auto"/>
          <w:spacing w:val="-12"/>
          <w:sz w:val="32"/>
          <w:szCs w:val="32"/>
        </w:rPr>
        <w:t>高水平医疗机构加成系数</w:t>
      </w:r>
      <w:r>
        <w:rPr>
          <w:rFonts w:hint="eastAsia" w:ascii="仿宋_GB2312" w:hAnsi="仿宋_GB2312" w:eastAsia="仿宋_GB2312" w:cs="仿宋_GB2312"/>
          <w:color w:val="auto"/>
          <w:spacing w:val="-12"/>
          <w:sz w:val="32"/>
          <w:szCs w:val="32"/>
          <w:lang w:eastAsia="zh-CN"/>
        </w:rPr>
        <w:t>、医保医药服务评价排名加成系数</w:t>
      </w:r>
      <w:r>
        <w:rPr>
          <w:rFonts w:hint="eastAsia" w:ascii="仿宋_GB2312" w:hAnsi="仿宋_GB2312" w:eastAsia="仿宋_GB2312" w:cs="仿宋_GB2312"/>
          <w:color w:val="auto"/>
          <w:spacing w:val="-12"/>
          <w:sz w:val="32"/>
          <w:szCs w:val="32"/>
        </w:rPr>
        <w:t>组成</w:t>
      </w:r>
      <w:r>
        <w:rPr>
          <w:rFonts w:hint="eastAsia" w:ascii="仿宋_GB2312" w:hAnsi="仿宋_GB2312" w:eastAsia="仿宋_GB2312" w:cs="仿宋_GB2312"/>
          <w:color w:val="auto"/>
          <w:spacing w:val="-11"/>
          <w:sz w:val="32"/>
          <w:szCs w:val="32"/>
        </w:rPr>
        <w:t>。</w:t>
      </w:r>
    </w:p>
    <w:p w14:paraId="618F3EBC">
      <w:pPr>
        <w:keepNext w:val="0"/>
        <w:keepLines w:val="0"/>
        <w:pageBreakBefore w:val="0"/>
        <w:widowControl/>
        <w:kinsoku w:val="0"/>
        <w:wordWrap/>
        <w:overflowPunct/>
        <w:topLinePunct w:val="0"/>
        <w:autoSpaceDE w:val="0"/>
        <w:autoSpaceDN w:val="0"/>
        <w:bidi w:val="0"/>
        <w:adjustRightInd w:val="0"/>
        <w:snapToGrid w:val="0"/>
        <w:spacing w:line="560" w:lineRule="exact"/>
        <w:ind w:left="780"/>
        <w:textAlignment w:val="baseline"/>
        <w:rPr>
          <w:rFonts w:hint="eastAsia" w:ascii="黑体" w:hAnsi="黑体" w:eastAsia="黑体" w:cs="黑体"/>
          <w:color w:val="auto"/>
          <w:sz w:val="32"/>
          <w:szCs w:val="32"/>
        </w:rPr>
      </w:pPr>
      <w:r>
        <w:rPr>
          <w:rFonts w:hint="eastAsia" w:ascii="黑体" w:hAnsi="黑体" w:eastAsia="黑体" w:cs="黑体"/>
          <w:color w:val="auto"/>
          <w:position w:val="3"/>
          <w:sz w:val="32"/>
          <w:szCs w:val="32"/>
        </w:rPr>
        <w:t>一、CMI</w:t>
      </w:r>
      <w:r>
        <w:rPr>
          <w:rFonts w:hint="eastAsia" w:ascii="黑体" w:hAnsi="黑体" w:eastAsia="黑体" w:cs="黑体"/>
          <w:color w:val="auto"/>
          <w:spacing w:val="11"/>
          <w:position w:val="3"/>
          <w:sz w:val="32"/>
          <w:szCs w:val="32"/>
        </w:rPr>
        <w:t>加成系数</w:t>
      </w:r>
    </w:p>
    <w:p w14:paraId="3FF7AAE7">
      <w:pPr>
        <w:keepNext w:val="0"/>
        <w:keepLines w:val="0"/>
        <w:pageBreakBefore w:val="0"/>
        <w:widowControl/>
        <w:kinsoku w:val="0"/>
        <w:wordWrap/>
        <w:overflowPunct/>
        <w:topLinePunct w:val="0"/>
        <w:autoSpaceDE w:val="0"/>
        <w:autoSpaceDN w:val="0"/>
        <w:bidi w:val="0"/>
        <w:adjustRightInd w:val="0"/>
        <w:snapToGrid w:val="0"/>
        <w:spacing w:line="560" w:lineRule="exact"/>
        <w:ind w:firstLine="65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CMI 为定点医疗机构病例组合指数，可综合反映定点医疗机构收治的病种结构及能力。</w:t>
      </w:r>
    </w:p>
    <w:p w14:paraId="34284A0A">
      <w:pPr>
        <w:keepNext w:val="0"/>
        <w:keepLines w:val="0"/>
        <w:pageBreakBefore w:val="0"/>
        <w:widowControl/>
        <w:kinsoku w:val="0"/>
        <w:wordWrap/>
        <w:overflowPunct/>
        <w:topLinePunct w:val="0"/>
        <w:autoSpaceDE w:val="0"/>
        <w:autoSpaceDN w:val="0"/>
        <w:bidi w:val="0"/>
        <w:adjustRightInd w:val="0"/>
        <w:snapToGrid w:val="0"/>
        <w:spacing w:line="560" w:lineRule="exact"/>
        <w:ind w:firstLine="65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CMI加成系数由上年度的数据计算得出。定点医疗机构CMI值大于</w:t>
      </w:r>
      <w:r>
        <w:rPr>
          <w:rFonts w:hint="eastAsia" w:ascii="仿宋_GB2312" w:hAnsi="仿宋_GB2312" w:eastAsia="仿宋_GB2312" w:cs="仿宋_GB2312"/>
          <w:color w:val="auto"/>
          <w:spacing w:val="-8"/>
          <w:sz w:val="32"/>
          <w:szCs w:val="32"/>
          <w:lang w:val="en-US" w:eastAsia="zh-CN"/>
        </w:rPr>
        <w:t>全市</w:t>
      </w:r>
      <w:r>
        <w:rPr>
          <w:rFonts w:hint="eastAsia" w:ascii="仿宋_GB2312" w:hAnsi="仿宋_GB2312" w:eastAsia="仿宋_GB2312" w:cs="仿宋_GB2312"/>
          <w:color w:val="auto"/>
          <w:spacing w:val="-8"/>
          <w:sz w:val="32"/>
          <w:szCs w:val="32"/>
        </w:rPr>
        <w:t>定点医疗机构CMI平均值的，每超出平均值10%的三级、二级和一级定点医疗机构分别加成</w:t>
      </w:r>
      <w:r>
        <w:rPr>
          <w:rFonts w:hint="eastAsia" w:ascii="仿宋_GB2312" w:hAnsi="仿宋_GB2312" w:eastAsia="仿宋_GB2312" w:cs="仿宋_GB2312"/>
          <w:color w:val="auto"/>
          <w:spacing w:val="-8"/>
          <w:sz w:val="32"/>
          <w:szCs w:val="32"/>
          <w:lang w:val="en-US" w:eastAsia="zh-CN"/>
        </w:rPr>
        <w:t>1</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0.8%、0.6%</w:t>
      </w:r>
      <w:r>
        <w:rPr>
          <w:rFonts w:hint="eastAsia" w:ascii="仿宋_GB2312" w:hAnsi="仿宋_GB2312" w:eastAsia="仿宋_GB2312" w:cs="仿宋_GB2312"/>
          <w:color w:val="auto"/>
          <w:spacing w:val="-8"/>
          <w:sz w:val="32"/>
          <w:szCs w:val="32"/>
        </w:rPr>
        <w:t>。总病例数未达全市0.5%及核心病种数未达100 种的不进行加成。</w:t>
      </w:r>
    </w:p>
    <w:p w14:paraId="43F2C735">
      <w:pPr>
        <w:keepNext w:val="0"/>
        <w:keepLines w:val="0"/>
        <w:pageBreakBefore w:val="0"/>
        <w:widowControl/>
        <w:kinsoku w:val="0"/>
        <w:wordWrap/>
        <w:overflowPunct/>
        <w:topLinePunct w:val="0"/>
        <w:autoSpaceDE w:val="0"/>
        <w:autoSpaceDN w:val="0"/>
        <w:bidi w:val="0"/>
        <w:adjustRightInd w:val="0"/>
        <w:snapToGrid w:val="0"/>
        <w:spacing w:line="560" w:lineRule="exact"/>
        <w:ind w:firstLine="65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计算公式为：</w:t>
      </w:r>
    </w:p>
    <w:p w14:paraId="6871EA00">
      <w:pPr>
        <w:keepNext w:val="0"/>
        <w:keepLines w:val="0"/>
        <w:pageBreakBefore w:val="0"/>
        <w:widowControl/>
        <w:kinsoku w:val="0"/>
        <w:wordWrap/>
        <w:overflowPunct/>
        <w:topLinePunct w:val="0"/>
        <w:autoSpaceDE w:val="0"/>
        <w:autoSpaceDN w:val="0"/>
        <w:bidi w:val="0"/>
        <w:adjustRightInd w:val="0"/>
        <w:snapToGrid w:val="0"/>
        <w:spacing w:line="560" w:lineRule="exact"/>
        <w:ind w:firstLine="65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定点医疗机构 CMI 值=该定点医疗机构考核前所有病例原始总分值÷该定点医疗机构</w:t>
      </w:r>
      <w:r>
        <w:rPr>
          <w:rFonts w:hint="eastAsia" w:ascii="仿宋_GB2312" w:hAnsi="仿宋_GB2312" w:eastAsia="仿宋_GB2312" w:cs="仿宋_GB2312"/>
          <w:color w:val="auto"/>
          <w:spacing w:val="-8"/>
          <w:sz w:val="32"/>
          <w:szCs w:val="32"/>
          <w:lang w:val="en-US" w:eastAsia="zh-CN"/>
        </w:rPr>
        <w:t>出院</w:t>
      </w:r>
      <w:r>
        <w:rPr>
          <w:rFonts w:hint="eastAsia" w:ascii="仿宋_GB2312" w:hAnsi="仿宋_GB2312" w:eastAsia="仿宋_GB2312" w:cs="仿宋_GB2312"/>
          <w:color w:val="auto"/>
          <w:spacing w:val="-8"/>
          <w:sz w:val="32"/>
          <w:szCs w:val="32"/>
        </w:rPr>
        <w:t>总病例数÷1000。</w:t>
      </w:r>
    </w:p>
    <w:p w14:paraId="4B66FFF1">
      <w:pPr>
        <w:keepNext w:val="0"/>
        <w:keepLines w:val="0"/>
        <w:pageBreakBefore w:val="0"/>
        <w:widowControl/>
        <w:kinsoku w:val="0"/>
        <w:wordWrap/>
        <w:overflowPunct/>
        <w:topLinePunct w:val="0"/>
        <w:autoSpaceDE w:val="0"/>
        <w:autoSpaceDN w:val="0"/>
        <w:bidi w:val="0"/>
        <w:adjustRightInd w:val="0"/>
        <w:snapToGrid w:val="0"/>
        <w:spacing w:line="560" w:lineRule="exact"/>
        <w:ind w:firstLine="65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lang w:val="en-US" w:eastAsia="zh-CN"/>
        </w:rPr>
        <w:t>全市</w:t>
      </w:r>
      <w:r>
        <w:rPr>
          <w:rFonts w:hint="eastAsia" w:ascii="仿宋_GB2312" w:hAnsi="仿宋_GB2312" w:eastAsia="仿宋_GB2312" w:cs="仿宋_GB2312"/>
          <w:color w:val="auto"/>
          <w:spacing w:val="-8"/>
          <w:sz w:val="32"/>
          <w:szCs w:val="32"/>
        </w:rPr>
        <w:t>定点医疗机构CMI平均值=全市所有医疗机构</w:t>
      </w:r>
      <w:r>
        <w:rPr>
          <w:rFonts w:hint="eastAsia" w:ascii="仿宋_GB2312" w:hAnsi="仿宋_GB2312" w:eastAsia="仿宋_GB2312" w:cs="仿宋_GB2312"/>
          <w:color w:val="auto"/>
          <w:spacing w:val="-8"/>
          <w:sz w:val="32"/>
          <w:szCs w:val="32"/>
          <w:lang w:val="en-US" w:eastAsia="zh-CN"/>
        </w:rPr>
        <w:t>考核前</w:t>
      </w:r>
      <w:r>
        <w:rPr>
          <w:rFonts w:hint="eastAsia" w:ascii="仿宋_GB2312" w:hAnsi="仿宋_GB2312" w:eastAsia="仿宋_GB2312" w:cs="仿宋_GB2312"/>
          <w:color w:val="auto"/>
          <w:spacing w:val="-8"/>
          <w:sz w:val="32"/>
          <w:szCs w:val="32"/>
        </w:rPr>
        <w:t>所有病例总分值÷全市所有医疗机构出院总例数÷1000。</w:t>
      </w:r>
    </w:p>
    <w:p w14:paraId="5AB54C1E">
      <w:pPr>
        <w:keepNext w:val="0"/>
        <w:keepLines w:val="0"/>
        <w:pageBreakBefore w:val="0"/>
        <w:widowControl/>
        <w:kinsoku w:val="0"/>
        <w:wordWrap/>
        <w:overflowPunct/>
        <w:topLinePunct w:val="0"/>
        <w:autoSpaceDE w:val="0"/>
        <w:autoSpaceDN w:val="0"/>
        <w:bidi w:val="0"/>
        <w:adjustRightInd w:val="0"/>
        <w:snapToGrid w:val="0"/>
        <w:spacing w:line="560" w:lineRule="exact"/>
        <w:ind w:left="780"/>
        <w:textAlignment w:val="baseline"/>
        <w:rPr>
          <w:rFonts w:hint="eastAsia" w:ascii="黑体" w:hAnsi="黑体" w:eastAsia="黑体" w:cs="黑体"/>
          <w:color w:val="auto"/>
          <w:position w:val="3"/>
          <w:sz w:val="32"/>
          <w:szCs w:val="32"/>
        </w:rPr>
      </w:pPr>
      <w:r>
        <w:rPr>
          <w:rFonts w:hint="eastAsia" w:ascii="黑体" w:hAnsi="黑体" w:eastAsia="黑体" w:cs="黑体"/>
          <w:color w:val="auto"/>
          <w:position w:val="3"/>
          <w:sz w:val="32"/>
          <w:szCs w:val="32"/>
        </w:rPr>
        <w:t>二、老年患者比例加成系数</w:t>
      </w:r>
    </w:p>
    <w:p w14:paraId="1069B8B1">
      <w:pPr>
        <w:keepNext w:val="0"/>
        <w:keepLines w:val="0"/>
        <w:pageBreakBefore w:val="0"/>
        <w:widowControl/>
        <w:kinsoku w:val="0"/>
        <w:wordWrap/>
        <w:overflowPunct/>
        <w:topLinePunct w:val="0"/>
        <w:autoSpaceDE w:val="0"/>
        <w:autoSpaceDN w:val="0"/>
        <w:bidi w:val="0"/>
        <w:adjustRightInd w:val="0"/>
        <w:snapToGrid w:val="0"/>
        <w:spacing w:line="560" w:lineRule="exact"/>
        <w:ind w:firstLine="65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老年患者比例加成系数由上年度的数据计算得出。定点医疗机构老年患者(65岁以上)住院结算人次占比大于等于全市平均值，且本医疗机构老年患者住院结算人次占总住院人次比例低于50%的，每超出平均值10%三级、二级和一级定点医疗机构分别加成1%、0.8%和0.6%,最高加成</w:t>
      </w:r>
      <w:r>
        <w:rPr>
          <w:rFonts w:hint="eastAsia" w:ascii="仿宋_GB2312" w:hAnsi="仿宋_GB2312" w:eastAsia="仿宋_GB2312" w:cs="仿宋_GB2312"/>
          <w:color w:val="auto"/>
          <w:spacing w:val="-8"/>
          <w:sz w:val="32"/>
          <w:szCs w:val="32"/>
          <w:lang w:val="en-US" w:eastAsia="zh-CN"/>
        </w:rPr>
        <w:t>3</w:t>
      </w:r>
      <w:r>
        <w:rPr>
          <w:rFonts w:hint="eastAsia" w:ascii="仿宋_GB2312" w:hAnsi="仿宋_GB2312" w:eastAsia="仿宋_GB2312" w:cs="仿宋_GB2312"/>
          <w:color w:val="auto"/>
          <w:spacing w:val="-8"/>
          <w:sz w:val="32"/>
          <w:szCs w:val="32"/>
        </w:rPr>
        <w:t>%。康复医疗机构、眼科医疗机构不计算老年患者比例加成系数。老年病例总病例数未达全市1%的不进行加成。</w:t>
      </w:r>
    </w:p>
    <w:p w14:paraId="0AF718A3">
      <w:pPr>
        <w:keepNext w:val="0"/>
        <w:keepLines w:val="0"/>
        <w:pageBreakBefore w:val="0"/>
        <w:widowControl/>
        <w:kinsoku w:val="0"/>
        <w:wordWrap/>
        <w:overflowPunct/>
        <w:topLinePunct w:val="0"/>
        <w:autoSpaceDE w:val="0"/>
        <w:autoSpaceDN w:val="0"/>
        <w:bidi w:val="0"/>
        <w:adjustRightInd w:val="0"/>
        <w:snapToGrid w:val="0"/>
        <w:spacing w:line="560" w:lineRule="exact"/>
        <w:ind w:left="780"/>
        <w:textAlignment w:val="baseline"/>
        <w:rPr>
          <w:rFonts w:hint="eastAsia" w:ascii="黑体" w:hAnsi="黑体" w:eastAsia="黑体" w:cs="黑体"/>
          <w:color w:val="auto"/>
          <w:position w:val="3"/>
          <w:sz w:val="32"/>
          <w:szCs w:val="32"/>
        </w:rPr>
      </w:pPr>
      <w:r>
        <w:rPr>
          <w:rFonts w:hint="eastAsia" w:ascii="黑体" w:hAnsi="黑体" w:eastAsia="黑体" w:cs="黑体"/>
          <w:color w:val="auto"/>
          <w:position w:val="3"/>
          <w:sz w:val="32"/>
          <w:szCs w:val="32"/>
        </w:rPr>
        <w:t>三、儿科患者比例加成系数</w:t>
      </w:r>
    </w:p>
    <w:p w14:paraId="02D0A01E">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儿科患者比例加成系数由上年度的数据计算得出。定点医疗机构</w:t>
      </w:r>
      <w:r>
        <w:rPr>
          <w:rFonts w:hint="eastAsia" w:ascii="仿宋_GB2312" w:hAnsi="仿宋_GB2312" w:eastAsia="仿宋_GB2312" w:cs="仿宋_GB2312"/>
          <w:color w:val="auto"/>
          <w:spacing w:val="-8"/>
          <w:sz w:val="32"/>
          <w:szCs w:val="32"/>
          <w:lang w:val="en-US" w:eastAsia="zh-CN"/>
        </w:rPr>
        <w:t>14</w:t>
      </w:r>
      <w:r>
        <w:rPr>
          <w:rFonts w:hint="eastAsia" w:ascii="仿宋_GB2312" w:hAnsi="仿宋_GB2312" w:eastAsia="仿宋_GB2312" w:cs="仿宋_GB2312"/>
          <w:color w:val="auto"/>
          <w:spacing w:val="-8"/>
          <w:sz w:val="32"/>
          <w:szCs w:val="32"/>
        </w:rPr>
        <w:t>岁以下儿童住院人次占比大于全市平均水平时，每超出平均值10%，三级、二级和一级定点医疗机构分别加成1%、0.8%和 0.6%,最高加成</w:t>
      </w:r>
      <w:r>
        <w:rPr>
          <w:rFonts w:hint="eastAsia" w:ascii="仿宋_GB2312" w:hAnsi="仿宋_GB2312" w:eastAsia="仿宋_GB2312" w:cs="仿宋_GB2312"/>
          <w:color w:val="auto"/>
          <w:spacing w:val="-8"/>
          <w:sz w:val="32"/>
          <w:szCs w:val="32"/>
          <w:lang w:val="en-US" w:eastAsia="zh-CN"/>
        </w:rPr>
        <w:t>3</w:t>
      </w:r>
      <w:r>
        <w:rPr>
          <w:rFonts w:hint="eastAsia" w:ascii="仿宋_GB2312" w:hAnsi="仿宋_GB2312" w:eastAsia="仿宋_GB2312" w:cs="仿宋_GB2312"/>
          <w:color w:val="auto"/>
          <w:spacing w:val="-8"/>
          <w:sz w:val="32"/>
          <w:szCs w:val="32"/>
        </w:rPr>
        <w:t>%。康复医疗机构、眼科医疗机构不计算儿童患者比例加成系数。儿童病例总病例数未达全市1%的不进行加成。</w:t>
      </w:r>
    </w:p>
    <w:p w14:paraId="6EC185D7">
      <w:pPr>
        <w:keepNext w:val="0"/>
        <w:keepLines w:val="0"/>
        <w:pageBreakBefore w:val="0"/>
        <w:widowControl/>
        <w:kinsoku w:val="0"/>
        <w:wordWrap/>
        <w:overflowPunct/>
        <w:topLinePunct w:val="0"/>
        <w:autoSpaceDE w:val="0"/>
        <w:autoSpaceDN w:val="0"/>
        <w:bidi w:val="0"/>
        <w:adjustRightInd w:val="0"/>
        <w:snapToGrid w:val="0"/>
        <w:spacing w:line="560" w:lineRule="exact"/>
        <w:ind w:left="780"/>
        <w:textAlignment w:val="baseline"/>
        <w:rPr>
          <w:rFonts w:hint="eastAsia" w:ascii="黑体" w:hAnsi="黑体" w:eastAsia="黑体" w:cs="黑体"/>
          <w:color w:val="auto"/>
          <w:position w:val="3"/>
          <w:sz w:val="32"/>
          <w:szCs w:val="32"/>
        </w:rPr>
      </w:pPr>
      <w:r>
        <w:rPr>
          <w:rFonts w:hint="eastAsia" w:ascii="黑体" w:hAnsi="黑体" w:eastAsia="黑体" w:cs="黑体"/>
          <w:color w:val="auto"/>
          <w:position w:val="3"/>
          <w:sz w:val="32"/>
          <w:szCs w:val="32"/>
        </w:rPr>
        <w:t>四、医疗机构技术水平加成系数</w:t>
      </w:r>
    </w:p>
    <w:p w14:paraId="4286FF2F">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rPr>
        <w:t>定点医疗机构具有国家</w:t>
      </w:r>
      <w:r>
        <w:rPr>
          <w:rFonts w:hint="eastAsia" w:ascii="仿宋_GB2312" w:hAnsi="仿宋_GB2312" w:eastAsia="仿宋_GB2312" w:cs="仿宋_GB2312"/>
          <w:color w:val="auto"/>
          <w:spacing w:val="-8"/>
          <w:sz w:val="32"/>
          <w:szCs w:val="32"/>
          <w:lang w:val="en-US" w:eastAsia="zh-CN"/>
        </w:rPr>
        <w:t>级</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省级</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市级</w:t>
      </w:r>
      <w:r>
        <w:rPr>
          <w:rFonts w:hint="eastAsia" w:ascii="仿宋_GB2312" w:hAnsi="仿宋_GB2312" w:eastAsia="仿宋_GB2312" w:cs="仿宋_GB2312"/>
          <w:color w:val="auto"/>
          <w:spacing w:val="-8"/>
          <w:sz w:val="32"/>
          <w:szCs w:val="32"/>
        </w:rPr>
        <w:t>重点专科、区域</w:t>
      </w:r>
      <w:r>
        <w:rPr>
          <w:rFonts w:hint="eastAsia" w:ascii="仿宋_GB2312" w:hAnsi="仿宋_GB2312" w:eastAsia="仿宋_GB2312" w:cs="仿宋_GB2312"/>
          <w:color w:val="auto"/>
          <w:spacing w:val="-8"/>
          <w:sz w:val="32"/>
          <w:szCs w:val="32"/>
          <w:lang w:val="en-US" w:eastAsia="zh-CN"/>
        </w:rPr>
        <w:t>医疗</w:t>
      </w:r>
      <w:r>
        <w:rPr>
          <w:rFonts w:hint="eastAsia" w:ascii="仿宋_GB2312" w:hAnsi="仿宋_GB2312" w:eastAsia="仿宋_GB2312" w:cs="仿宋_GB2312"/>
          <w:color w:val="auto"/>
          <w:spacing w:val="-8"/>
          <w:sz w:val="32"/>
          <w:szCs w:val="32"/>
        </w:rPr>
        <w:t>中心、</w:t>
      </w:r>
      <w:r>
        <w:rPr>
          <w:rFonts w:hint="eastAsia" w:ascii="仿宋_GB2312" w:hAnsi="仿宋_GB2312" w:eastAsia="仿宋_GB2312" w:cs="仿宋_GB2312"/>
          <w:color w:val="auto"/>
          <w:spacing w:val="-8"/>
          <w:sz w:val="32"/>
          <w:szCs w:val="32"/>
          <w:lang w:val="en-US" w:eastAsia="zh-CN"/>
        </w:rPr>
        <w:t>医疗救治中心（</w:t>
      </w:r>
      <w:r>
        <w:rPr>
          <w:rFonts w:hint="eastAsia" w:ascii="仿宋_GB2312" w:hAnsi="仿宋_GB2312" w:eastAsia="仿宋_GB2312" w:cs="仿宋_GB2312"/>
          <w:color w:val="auto"/>
          <w:spacing w:val="-8"/>
          <w:sz w:val="32"/>
          <w:szCs w:val="32"/>
        </w:rPr>
        <w:t>系数确定当年前5年期间获批的</w:t>
      </w:r>
      <w:r>
        <w:rPr>
          <w:rFonts w:hint="eastAsia" w:ascii="仿宋_GB2312" w:hAnsi="仿宋_GB2312" w:eastAsia="仿宋_GB2312" w:cs="仿宋_GB2312"/>
          <w:color w:val="auto"/>
          <w:spacing w:val="-8"/>
          <w:sz w:val="32"/>
          <w:szCs w:val="32"/>
          <w:lang w:val="en-US" w:eastAsia="zh-CN"/>
        </w:rPr>
        <w:t>）</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每个按国家、省、市</w:t>
      </w:r>
      <w:r>
        <w:rPr>
          <w:rFonts w:hint="eastAsia" w:ascii="仿宋_GB2312" w:hAnsi="仿宋_GB2312" w:eastAsia="仿宋_GB2312" w:cs="仿宋_GB2312"/>
          <w:color w:val="auto"/>
          <w:spacing w:val="-8"/>
          <w:sz w:val="32"/>
          <w:szCs w:val="32"/>
        </w:rPr>
        <w:t>分别加成</w:t>
      </w:r>
      <w:r>
        <w:rPr>
          <w:rFonts w:hint="eastAsia" w:ascii="仿宋_GB2312" w:hAnsi="仿宋_GB2312" w:eastAsia="仿宋_GB2312" w:cs="仿宋_GB2312"/>
          <w:color w:val="auto"/>
          <w:spacing w:val="-8"/>
          <w:sz w:val="32"/>
          <w:szCs w:val="32"/>
          <w:lang w:val="en-US" w:eastAsia="zh-CN"/>
        </w:rPr>
        <w:t>2%</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1%</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0.5%</w:t>
      </w:r>
      <w:r>
        <w:rPr>
          <w:rFonts w:hint="eastAsia" w:ascii="仿宋_GB2312" w:hAnsi="仿宋_GB2312" w:eastAsia="仿宋_GB2312" w:cs="仿宋_GB2312"/>
          <w:color w:val="auto"/>
          <w:spacing w:val="-8"/>
          <w:sz w:val="32"/>
          <w:szCs w:val="32"/>
        </w:rPr>
        <w:t>。同一专科按最高级别重点专科进行加成，不重复计算</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每增加一个重点专科</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区域医疗中心、医疗救治中心</w:t>
      </w:r>
      <w:r>
        <w:rPr>
          <w:rFonts w:hint="eastAsia" w:ascii="仿宋_GB2312" w:hAnsi="仿宋_GB2312" w:eastAsia="仿宋_GB2312" w:cs="仿宋_GB2312"/>
          <w:color w:val="auto"/>
          <w:spacing w:val="-8"/>
          <w:sz w:val="32"/>
          <w:szCs w:val="32"/>
        </w:rPr>
        <w:t>，按</w:t>
      </w:r>
      <w:r>
        <w:rPr>
          <w:rFonts w:hint="eastAsia" w:ascii="仿宋_GB2312" w:hAnsi="仿宋_GB2312" w:eastAsia="仿宋_GB2312" w:cs="仿宋_GB2312"/>
          <w:color w:val="auto"/>
          <w:spacing w:val="-8"/>
          <w:sz w:val="32"/>
          <w:szCs w:val="32"/>
          <w:lang w:val="en-US" w:eastAsia="zh-CN"/>
        </w:rPr>
        <w:t>对应</w:t>
      </w:r>
      <w:r>
        <w:rPr>
          <w:rFonts w:hint="eastAsia" w:ascii="仿宋_GB2312" w:hAnsi="仿宋_GB2312" w:eastAsia="仿宋_GB2312" w:cs="仿宋_GB2312"/>
          <w:color w:val="auto"/>
          <w:spacing w:val="-8"/>
          <w:sz w:val="32"/>
          <w:szCs w:val="32"/>
        </w:rPr>
        <w:t>标准加成，</w:t>
      </w:r>
      <w:r>
        <w:rPr>
          <w:rFonts w:hint="eastAsia" w:ascii="仿宋_GB2312" w:hAnsi="仿宋_GB2312" w:eastAsia="仿宋_GB2312" w:cs="仿宋_GB2312"/>
          <w:color w:val="auto"/>
          <w:spacing w:val="-8"/>
          <w:sz w:val="32"/>
          <w:szCs w:val="32"/>
          <w:lang w:val="en-US" w:eastAsia="zh-CN"/>
        </w:rPr>
        <w:t>全部最高加成不超过5%。</w:t>
      </w:r>
    </w:p>
    <w:p w14:paraId="716C3F2D">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lang w:val="en-US" w:eastAsia="zh-CN"/>
        </w:rPr>
        <w:t>本项加成系数的定点医疗机构需</w:t>
      </w:r>
      <w:r>
        <w:rPr>
          <w:rFonts w:hint="eastAsia" w:ascii="仿宋_GB2312" w:hAnsi="仿宋_GB2312" w:eastAsia="仿宋_GB2312" w:cs="仿宋_GB2312"/>
          <w:color w:val="auto"/>
          <w:spacing w:val="-8"/>
          <w:sz w:val="32"/>
          <w:szCs w:val="32"/>
        </w:rPr>
        <w:t>填写《医疗机构技术水平加成系数申请表》</w:t>
      </w:r>
      <w:r>
        <w:rPr>
          <w:rFonts w:hint="eastAsia" w:ascii="仿宋_GB2312" w:hAnsi="仿宋_GB2312" w:eastAsia="仿宋_GB2312" w:cs="仿宋_GB2312"/>
          <w:color w:val="auto"/>
          <w:spacing w:val="-8"/>
          <w:sz w:val="32"/>
          <w:szCs w:val="32"/>
          <w:lang w:val="en-US" w:eastAsia="zh-CN"/>
        </w:rPr>
        <w:t>及提供相关文件佐证材料</w:t>
      </w:r>
      <w:r>
        <w:rPr>
          <w:rFonts w:hint="eastAsia" w:ascii="仿宋_GB2312" w:hAnsi="仿宋_GB2312" w:eastAsia="仿宋_GB2312" w:cs="仿宋_GB2312"/>
          <w:color w:val="auto"/>
          <w:spacing w:val="-8"/>
          <w:sz w:val="32"/>
          <w:szCs w:val="32"/>
        </w:rPr>
        <w:t>提交辖区内县级医保经办机构汇总后，提交市级医保经办机构组织专家审定医疗机构技术水平加成系数。</w:t>
      </w:r>
    </w:p>
    <w:p w14:paraId="7A4CE8E8">
      <w:pPr>
        <w:keepNext w:val="0"/>
        <w:keepLines w:val="0"/>
        <w:pageBreakBefore w:val="0"/>
        <w:widowControl/>
        <w:kinsoku w:val="0"/>
        <w:wordWrap/>
        <w:overflowPunct/>
        <w:topLinePunct w:val="0"/>
        <w:autoSpaceDE w:val="0"/>
        <w:autoSpaceDN w:val="0"/>
        <w:bidi w:val="0"/>
        <w:adjustRightInd w:val="0"/>
        <w:snapToGrid w:val="0"/>
        <w:spacing w:line="560" w:lineRule="exact"/>
        <w:ind w:left="780"/>
        <w:textAlignment w:val="baseline"/>
        <w:rPr>
          <w:rFonts w:hint="eastAsia" w:ascii="黑体" w:hAnsi="黑体" w:eastAsia="黑体" w:cs="黑体"/>
          <w:color w:val="auto"/>
          <w:position w:val="3"/>
          <w:sz w:val="32"/>
          <w:szCs w:val="32"/>
        </w:rPr>
      </w:pPr>
      <w:r>
        <w:rPr>
          <w:rFonts w:hint="eastAsia" w:ascii="黑体" w:hAnsi="黑体" w:eastAsia="黑体" w:cs="黑体"/>
          <w:color w:val="auto"/>
          <w:position w:val="3"/>
          <w:sz w:val="32"/>
          <w:szCs w:val="32"/>
        </w:rPr>
        <w:t>五、广东省高水平医院重点建设单位加成系数</w:t>
      </w:r>
    </w:p>
    <w:p w14:paraId="596B8286">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属于广东省高水平医院重点建设单位的定点医疗机构加成1%。</w:t>
      </w:r>
    </w:p>
    <w:p w14:paraId="0F50271E">
      <w:pPr>
        <w:keepNext w:val="0"/>
        <w:keepLines w:val="0"/>
        <w:pageBreakBefore w:val="0"/>
        <w:widowControl/>
        <w:kinsoku w:val="0"/>
        <w:wordWrap/>
        <w:overflowPunct/>
        <w:topLinePunct w:val="0"/>
        <w:autoSpaceDE w:val="0"/>
        <w:autoSpaceDN w:val="0"/>
        <w:bidi w:val="0"/>
        <w:adjustRightInd w:val="0"/>
        <w:snapToGrid w:val="0"/>
        <w:spacing w:line="560" w:lineRule="exact"/>
        <w:ind w:left="780"/>
        <w:textAlignment w:val="baseline"/>
        <w:rPr>
          <w:rFonts w:hint="eastAsia" w:ascii="黑体" w:hAnsi="黑体" w:eastAsia="黑体" w:cs="黑体"/>
          <w:color w:val="auto"/>
          <w:position w:val="3"/>
          <w:sz w:val="32"/>
          <w:szCs w:val="32"/>
        </w:rPr>
      </w:pPr>
      <w:r>
        <w:rPr>
          <w:rFonts w:hint="eastAsia" w:ascii="黑体" w:hAnsi="黑体" w:eastAsia="黑体" w:cs="黑体"/>
          <w:color w:val="auto"/>
          <w:position w:val="3"/>
          <w:sz w:val="32"/>
          <w:szCs w:val="32"/>
          <w:lang w:val="en-US" w:eastAsia="zh-CN"/>
        </w:rPr>
        <w:t>六</w:t>
      </w:r>
      <w:r>
        <w:rPr>
          <w:rFonts w:hint="eastAsia" w:ascii="黑体" w:hAnsi="黑体" w:eastAsia="黑体" w:cs="黑体"/>
          <w:color w:val="auto"/>
          <w:position w:val="3"/>
          <w:sz w:val="32"/>
          <w:szCs w:val="32"/>
        </w:rPr>
        <w:t>、医保医药服务评价排名加成系数</w:t>
      </w:r>
    </w:p>
    <w:p w14:paraId="73336EE7">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省医疗保障部门每年度对全省定点三级、二级医疗机构医药服务开展评价</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同时公布各级别医院医保医药服务评价报告结果</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我市各定点医疗机构在全省同类同等级医疗机构医保医药服务评价综合排名进入前30</w:t>
      </w:r>
      <w:r>
        <w:rPr>
          <w:rFonts w:hint="eastAsia" w:ascii="仿宋_GB2312" w:hAnsi="仿宋_GB2312" w:eastAsia="仿宋_GB2312" w:cs="仿宋_GB2312"/>
          <w:color w:val="auto"/>
          <w:spacing w:val="-8"/>
          <w:sz w:val="32"/>
          <w:szCs w:val="32"/>
          <w:lang w:val="en-US" w:eastAsia="zh-CN"/>
        </w:rPr>
        <w:t>%</w:t>
      </w:r>
      <w:r>
        <w:rPr>
          <w:rFonts w:hint="eastAsia" w:ascii="仿宋_GB2312" w:hAnsi="仿宋_GB2312" w:eastAsia="仿宋_GB2312" w:cs="仿宋_GB2312"/>
          <w:color w:val="auto"/>
          <w:spacing w:val="-8"/>
          <w:sz w:val="32"/>
          <w:szCs w:val="32"/>
        </w:rPr>
        <w:t>的系数加成0.5%，进入前20</w:t>
      </w:r>
      <w:r>
        <w:rPr>
          <w:rFonts w:hint="eastAsia" w:ascii="仿宋_GB2312" w:hAnsi="仿宋_GB2312" w:eastAsia="仿宋_GB2312" w:cs="仿宋_GB2312"/>
          <w:color w:val="auto"/>
          <w:spacing w:val="-8"/>
          <w:sz w:val="32"/>
          <w:szCs w:val="32"/>
          <w:lang w:val="en-US" w:eastAsia="zh-CN"/>
        </w:rPr>
        <w:t>%</w:t>
      </w:r>
      <w:r>
        <w:rPr>
          <w:rFonts w:hint="eastAsia" w:ascii="仿宋_GB2312" w:hAnsi="仿宋_GB2312" w:eastAsia="仿宋_GB2312" w:cs="仿宋_GB2312"/>
          <w:color w:val="auto"/>
          <w:spacing w:val="-8"/>
          <w:sz w:val="32"/>
          <w:szCs w:val="32"/>
        </w:rPr>
        <w:t>的系数加成1%，进入前10</w:t>
      </w:r>
      <w:r>
        <w:rPr>
          <w:rFonts w:hint="eastAsia" w:ascii="仿宋_GB2312" w:hAnsi="仿宋_GB2312" w:eastAsia="仿宋_GB2312" w:cs="仿宋_GB2312"/>
          <w:color w:val="auto"/>
          <w:spacing w:val="-8"/>
          <w:sz w:val="32"/>
          <w:szCs w:val="32"/>
          <w:lang w:val="en-US" w:eastAsia="zh-CN"/>
        </w:rPr>
        <w:t>%</w:t>
      </w:r>
      <w:r>
        <w:rPr>
          <w:rFonts w:hint="eastAsia" w:ascii="仿宋_GB2312" w:hAnsi="仿宋_GB2312" w:eastAsia="仿宋_GB2312" w:cs="仿宋_GB2312"/>
          <w:color w:val="auto"/>
          <w:spacing w:val="-8"/>
          <w:sz w:val="32"/>
          <w:szCs w:val="32"/>
        </w:rPr>
        <w:t>的系数加成</w:t>
      </w:r>
      <w:r>
        <w:rPr>
          <w:rFonts w:hint="eastAsia" w:ascii="仿宋_GB2312" w:hAnsi="仿宋_GB2312" w:eastAsia="仿宋_GB2312" w:cs="仿宋_GB2312"/>
          <w:color w:val="auto"/>
          <w:spacing w:val="-8"/>
          <w:sz w:val="32"/>
          <w:szCs w:val="32"/>
          <w:lang w:val="en-US" w:eastAsia="zh-CN"/>
        </w:rPr>
        <w:t>2</w:t>
      </w:r>
      <w:r>
        <w:rPr>
          <w:rFonts w:hint="eastAsia" w:ascii="仿宋_GB2312" w:hAnsi="仿宋_GB2312" w:eastAsia="仿宋_GB2312" w:cs="仿宋_GB2312"/>
          <w:color w:val="auto"/>
          <w:spacing w:val="-8"/>
          <w:sz w:val="32"/>
          <w:szCs w:val="32"/>
        </w:rPr>
        <w:t>%。三级以下各定点医疗机构当年度在全市医疗机构医保医药服务评价排名进入前</w:t>
      </w:r>
      <w:r>
        <w:rPr>
          <w:rFonts w:hint="eastAsia" w:ascii="仿宋_GB2312" w:hAnsi="仿宋_GB2312" w:eastAsia="仿宋_GB2312" w:cs="仿宋_GB2312"/>
          <w:color w:val="auto"/>
          <w:spacing w:val="-8"/>
          <w:sz w:val="32"/>
          <w:szCs w:val="32"/>
          <w:lang w:val="en-US" w:eastAsia="zh-CN"/>
        </w:rPr>
        <w:t>10</w:t>
      </w:r>
      <w:r>
        <w:rPr>
          <w:rFonts w:hint="eastAsia" w:ascii="仿宋_GB2312" w:hAnsi="仿宋_GB2312" w:eastAsia="仿宋_GB2312" w:cs="仿宋_GB2312"/>
          <w:color w:val="auto"/>
          <w:spacing w:val="-8"/>
          <w:sz w:val="32"/>
          <w:szCs w:val="32"/>
        </w:rPr>
        <w:t>名的系数加成0.5%，</w:t>
      </w:r>
      <w:r>
        <w:rPr>
          <w:rFonts w:hint="eastAsia" w:ascii="仿宋_GB2312" w:hAnsi="仿宋_GB2312" w:eastAsia="仿宋_GB2312" w:cs="仿宋_GB2312"/>
          <w:color w:val="auto"/>
          <w:spacing w:val="-8"/>
          <w:sz w:val="32"/>
          <w:szCs w:val="32"/>
          <w:lang w:val="en-US" w:eastAsia="zh-CN"/>
        </w:rPr>
        <w:t>进入前5名的系数</w:t>
      </w:r>
      <w:r>
        <w:rPr>
          <w:rFonts w:hint="eastAsia" w:ascii="仿宋_GB2312" w:hAnsi="仿宋_GB2312" w:eastAsia="仿宋_GB2312" w:cs="仿宋_GB2312"/>
          <w:color w:val="auto"/>
          <w:spacing w:val="-8"/>
          <w:sz w:val="32"/>
          <w:szCs w:val="32"/>
        </w:rPr>
        <w:t>加成1%。</w:t>
      </w:r>
    </w:p>
    <w:p w14:paraId="6CDFFA61">
      <w:pPr>
        <w:keepNext w:val="0"/>
        <w:keepLines w:val="0"/>
        <w:pageBreakBefore w:val="0"/>
        <w:widowControl/>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color w:val="auto"/>
          <w:spacing w:val="-8"/>
          <w:sz w:val="32"/>
          <w:szCs w:val="32"/>
        </w:rPr>
        <w:t>若省医疗保障行政部门不公布、延迟公布或未公布全部级别医院医保医药服务评价总分排名的，则下一医</w:t>
      </w:r>
      <w:r>
        <w:rPr>
          <w:rFonts w:hint="eastAsia" w:ascii="仿宋_GB2312" w:hAnsi="仿宋_GB2312" w:eastAsia="仿宋_GB2312" w:cs="仿宋_GB2312"/>
          <w:spacing w:val="-8"/>
          <w:sz w:val="32"/>
          <w:szCs w:val="32"/>
        </w:rPr>
        <w:t>保年度不计算医保医药服务评价总分加成等级系数。</w:t>
      </w:r>
    </w:p>
    <w:p w14:paraId="325DEFF6">
      <w:pPr>
        <w:pStyle w:val="2"/>
        <w:keepNext w:val="0"/>
        <w:keepLines w:val="0"/>
        <w:pageBreakBefore w:val="0"/>
        <w:wordWrap/>
        <w:overflowPunct/>
        <w:topLinePunct w:val="0"/>
        <w:bidi w:val="0"/>
        <w:spacing w:line="560" w:lineRule="exact"/>
        <w:rPr>
          <w:rFonts w:hint="eastAsia" w:ascii="仿宋_GB2312" w:hAnsi="仿宋_GB2312" w:eastAsia="仿宋_GB2312" w:cs="仿宋_GB2312"/>
          <w:spacing w:val="-8"/>
          <w:sz w:val="32"/>
          <w:szCs w:val="32"/>
        </w:rPr>
      </w:pPr>
    </w:p>
    <w:p w14:paraId="6F4F8F16">
      <w:pPr>
        <w:pStyle w:val="2"/>
        <w:rPr>
          <w:rFonts w:hint="eastAsia" w:ascii="仿宋_GB2312" w:hAnsi="仿宋_GB2312" w:eastAsia="仿宋_GB2312" w:cs="仿宋_GB2312"/>
          <w:spacing w:val="-8"/>
          <w:sz w:val="32"/>
          <w:szCs w:val="32"/>
        </w:rPr>
      </w:pPr>
    </w:p>
    <w:p w14:paraId="7AD3965B">
      <w:pPr>
        <w:pStyle w:val="2"/>
        <w:rPr>
          <w:rFonts w:hint="eastAsia" w:ascii="仿宋_GB2312" w:hAnsi="仿宋_GB2312" w:eastAsia="仿宋_GB2312" w:cs="仿宋_GB2312"/>
          <w:spacing w:val="-8"/>
          <w:sz w:val="32"/>
          <w:szCs w:val="32"/>
        </w:rPr>
      </w:pPr>
      <w:bookmarkStart w:id="0" w:name="_GoBack"/>
      <w:bookmarkEnd w:id="0"/>
    </w:p>
    <w:p w14:paraId="5B57DF2C">
      <w:pPr>
        <w:pStyle w:val="2"/>
        <w:rPr>
          <w:rFonts w:hint="eastAsia" w:ascii="仿宋_GB2312" w:hAnsi="仿宋_GB2312" w:eastAsia="仿宋_GB2312" w:cs="仿宋_GB2312"/>
          <w:spacing w:val="-8"/>
          <w:sz w:val="32"/>
          <w:szCs w:val="32"/>
        </w:rPr>
      </w:pPr>
    </w:p>
    <w:p w14:paraId="3D660EA0">
      <w:pPr>
        <w:pStyle w:val="2"/>
        <w:rPr>
          <w:rFonts w:hint="eastAsia" w:ascii="仿宋_GB2312" w:hAnsi="仿宋_GB2312" w:eastAsia="仿宋_GB2312" w:cs="仿宋_GB2312"/>
          <w:spacing w:val="-8"/>
          <w:sz w:val="32"/>
          <w:szCs w:val="32"/>
        </w:rPr>
      </w:pPr>
    </w:p>
    <w:p w14:paraId="2E42B829">
      <w:pPr>
        <w:pStyle w:val="2"/>
        <w:rPr>
          <w:rFonts w:hint="eastAsia" w:ascii="仿宋_GB2312" w:hAnsi="仿宋_GB2312" w:eastAsia="仿宋_GB2312" w:cs="仿宋_GB2312"/>
          <w:spacing w:val="-8"/>
          <w:sz w:val="32"/>
          <w:szCs w:val="32"/>
        </w:rPr>
      </w:pPr>
    </w:p>
    <w:p w14:paraId="3117ADAE">
      <w:pPr>
        <w:pStyle w:val="2"/>
        <w:rPr>
          <w:rFonts w:hint="eastAsia" w:ascii="仿宋_GB2312" w:hAnsi="仿宋_GB2312" w:eastAsia="仿宋_GB2312" w:cs="仿宋_GB2312"/>
          <w:spacing w:val="-8"/>
          <w:sz w:val="32"/>
          <w:szCs w:val="32"/>
        </w:rPr>
      </w:pPr>
    </w:p>
    <w:p w14:paraId="06A77CDD">
      <w:pPr>
        <w:pStyle w:val="2"/>
        <w:rPr>
          <w:rFonts w:hint="eastAsia" w:ascii="仿宋_GB2312" w:hAnsi="仿宋_GB2312" w:eastAsia="仿宋_GB2312" w:cs="仿宋_GB2312"/>
          <w:spacing w:val="-8"/>
          <w:sz w:val="32"/>
          <w:szCs w:val="32"/>
        </w:rPr>
      </w:pPr>
    </w:p>
    <w:p w14:paraId="1E13D843">
      <w:pPr>
        <w:pStyle w:val="2"/>
        <w:rPr>
          <w:rFonts w:hint="eastAsia" w:ascii="仿宋_GB2312" w:hAnsi="仿宋_GB2312" w:eastAsia="仿宋_GB2312" w:cs="仿宋_GB2312"/>
          <w:spacing w:val="-8"/>
          <w:sz w:val="32"/>
          <w:szCs w:val="32"/>
        </w:rPr>
      </w:pPr>
    </w:p>
    <w:p w14:paraId="36B745ED">
      <w:pPr>
        <w:pStyle w:val="2"/>
        <w:rPr>
          <w:rFonts w:hint="eastAsia" w:ascii="仿宋_GB2312" w:hAnsi="仿宋_GB2312" w:eastAsia="仿宋_GB2312" w:cs="仿宋_GB2312"/>
          <w:spacing w:val="-8"/>
          <w:sz w:val="32"/>
          <w:szCs w:val="32"/>
        </w:rPr>
      </w:pPr>
    </w:p>
    <w:p w14:paraId="477E9FF1">
      <w:pPr>
        <w:pStyle w:val="2"/>
        <w:rPr>
          <w:rFonts w:hint="eastAsia" w:ascii="仿宋_GB2312" w:hAnsi="仿宋_GB2312" w:eastAsia="仿宋_GB2312" w:cs="仿宋_GB2312"/>
          <w:spacing w:val="-8"/>
          <w:sz w:val="32"/>
          <w:szCs w:val="32"/>
        </w:rPr>
      </w:pPr>
    </w:p>
    <w:p w14:paraId="69FABFF6">
      <w:pPr>
        <w:widowControl/>
        <w:kinsoku w:val="0"/>
        <w:autoSpaceDE w:val="0"/>
        <w:autoSpaceDN w:val="0"/>
        <w:adjustRightInd w:val="0"/>
        <w:snapToGrid w:val="0"/>
        <w:spacing w:line="560" w:lineRule="exact"/>
        <w:textAlignment w:val="baseline"/>
        <w:rPr>
          <w:rFonts w:hint="eastAsia" w:ascii="宋体" w:hAnsi="宋体" w:cs="宋体"/>
          <w:b/>
          <w:bCs/>
          <w:spacing w:val="-8"/>
          <w:sz w:val="32"/>
          <w:szCs w:val="32"/>
        </w:rPr>
      </w:pPr>
      <w:r>
        <w:rPr>
          <w:rFonts w:hint="eastAsia" w:ascii="仿宋_GB2312" w:hAnsi="仿宋_GB2312" w:eastAsia="仿宋_GB2312" w:cs="仿宋_GB2312"/>
          <w:spacing w:val="-8"/>
          <w:sz w:val="32"/>
          <w:szCs w:val="32"/>
        </w:rPr>
        <w:t>附件</w:t>
      </w:r>
    </w:p>
    <w:p w14:paraId="00B5674E">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r>
        <w:rPr>
          <w:rFonts w:hint="eastAsia" w:ascii="宋体" w:hAnsi="宋体" w:cs="宋体"/>
          <w:b/>
          <w:bCs/>
          <w:spacing w:val="10"/>
          <w:sz w:val="29"/>
          <w:szCs w:val="29"/>
        </w:rPr>
        <w:t>医疗机构技术水平加成系数申请表</w:t>
      </w:r>
    </w:p>
    <w:p w14:paraId="19AE4D01">
      <w:pPr>
        <w:widowControl/>
        <w:kinsoku w:val="0"/>
        <w:autoSpaceDE w:val="0"/>
        <w:autoSpaceDN w:val="0"/>
        <w:adjustRightInd w:val="0"/>
        <w:snapToGrid w:val="0"/>
        <w:spacing w:line="560" w:lineRule="exact"/>
        <w:textAlignment w:val="baseline"/>
        <w:rPr>
          <w:rFonts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rPr>
        <w:t>定点医疗机构名称（盖章）：                   申请时间：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1350"/>
        <w:gridCol w:w="1587"/>
        <w:gridCol w:w="1587"/>
        <w:gridCol w:w="2363"/>
      </w:tblGrid>
      <w:tr w14:paraId="12AD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2" w:type="dxa"/>
            <w:noWrap w:val="0"/>
            <w:vAlign w:val="top"/>
          </w:tcPr>
          <w:p w14:paraId="7ED68F05">
            <w:pPr>
              <w:spacing w:before="296" w:line="220" w:lineRule="auto"/>
              <w:ind w:left="58"/>
              <w:jc w:val="center"/>
              <w:rPr>
                <w:rFonts w:hint="eastAsia" w:ascii="宋体" w:hAnsi="宋体" w:cs="宋体"/>
                <w:b/>
                <w:bCs/>
                <w:spacing w:val="9"/>
                <w:sz w:val="24"/>
              </w:rPr>
            </w:pPr>
            <w:r>
              <w:rPr>
                <w:rFonts w:ascii="宋体" w:hAnsi="宋体" w:cs="宋体"/>
                <w:b/>
                <w:bCs/>
                <w:spacing w:val="9"/>
                <w:sz w:val="24"/>
              </w:rPr>
              <w:t>加成项目</w:t>
            </w:r>
          </w:p>
        </w:tc>
        <w:tc>
          <w:tcPr>
            <w:tcW w:w="1350" w:type="dxa"/>
            <w:noWrap w:val="0"/>
            <w:vAlign w:val="top"/>
          </w:tcPr>
          <w:p w14:paraId="63D0589A">
            <w:pPr>
              <w:spacing w:before="296" w:line="220" w:lineRule="auto"/>
              <w:ind w:left="58"/>
              <w:jc w:val="center"/>
              <w:rPr>
                <w:rFonts w:hint="eastAsia" w:ascii="宋体" w:hAnsi="宋体" w:cs="宋体"/>
                <w:b/>
                <w:bCs/>
                <w:spacing w:val="9"/>
                <w:sz w:val="24"/>
              </w:rPr>
            </w:pPr>
            <w:r>
              <w:rPr>
                <w:rFonts w:ascii="宋体" w:hAnsi="宋体" w:cs="宋体"/>
                <w:b/>
                <w:bCs/>
                <w:spacing w:val="9"/>
                <w:sz w:val="24"/>
              </w:rPr>
              <w:t>级别</w:t>
            </w:r>
          </w:p>
        </w:tc>
        <w:tc>
          <w:tcPr>
            <w:tcW w:w="1587" w:type="dxa"/>
            <w:noWrap w:val="0"/>
            <w:vAlign w:val="top"/>
          </w:tcPr>
          <w:p w14:paraId="64520E6C">
            <w:pPr>
              <w:spacing w:before="296" w:line="220" w:lineRule="auto"/>
              <w:ind w:left="58"/>
              <w:jc w:val="center"/>
              <w:rPr>
                <w:rFonts w:hint="eastAsia" w:ascii="宋体" w:hAnsi="宋体" w:cs="宋体" w:eastAsiaTheme="minorEastAsia"/>
                <w:b/>
                <w:bCs/>
                <w:spacing w:val="9"/>
                <w:sz w:val="24"/>
                <w:lang w:val="en-US" w:eastAsia="zh-CN"/>
              </w:rPr>
            </w:pPr>
            <w:r>
              <w:rPr>
                <w:rFonts w:hint="eastAsia" w:ascii="宋体" w:hAnsi="宋体" w:cs="宋体"/>
                <w:b/>
                <w:bCs/>
                <w:spacing w:val="9"/>
                <w:sz w:val="24"/>
                <w:lang w:val="en-US" w:eastAsia="zh-CN"/>
              </w:rPr>
              <w:t>数量</w:t>
            </w:r>
          </w:p>
        </w:tc>
        <w:tc>
          <w:tcPr>
            <w:tcW w:w="1587" w:type="dxa"/>
            <w:noWrap w:val="0"/>
            <w:vAlign w:val="top"/>
          </w:tcPr>
          <w:p w14:paraId="568E8228">
            <w:pPr>
              <w:spacing w:before="296" w:line="220" w:lineRule="auto"/>
              <w:ind w:left="58"/>
              <w:jc w:val="center"/>
              <w:rPr>
                <w:rFonts w:hint="eastAsia" w:ascii="宋体" w:hAnsi="宋体" w:cs="宋体"/>
                <w:b/>
                <w:bCs/>
                <w:spacing w:val="9"/>
                <w:sz w:val="24"/>
              </w:rPr>
            </w:pPr>
            <w:r>
              <w:rPr>
                <w:rFonts w:hint="eastAsia" w:ascii="宋体" w:hAnsi="宋体" w:cs="宋体"/>
                <w:b/>
                <w:bCs/>
                <w:spacing w:val="9"/>
                <w:sz w:val="24"/>
              </w:rPr>
              <w:t>加成</w:t>
            </w:r>
            <w:r>
              <w:rPr>
                <w:rFonts w:hint="eastAsia" w:ascii="宋体" w:hAnsi="宋体" w:cs="宋体"/>
                <w:b/>
                <w:bCs/>
                <w:spacing w:val="9"/>
                <w:sz w:val="24"/>
                <w:lang w:val="en-US" w:eastAsia="zh-CN"/>
              </w:rPr>
              <w:t>总</w:t>
            </w:r>
            <w:r>
              <w:rPr>
                <w:rFonts w:hint="eastAsia" w:ascii="宋体" w:hAnsi="宋体" w:cs="宋体"/>
                <w:b/>
                <w:bCs/>
                <w:spacing w:val="9"/>
                <w:sz w:val="24"/>
              </w:rPr>
              <w:t>比例</w:t>
            </w:r>
          </w:p>
        </w:tc>
        <w:tc>
          <w:tcPr>
            <w:tcW w:w="2363" w:type="dxa"/>
            <w:noWrap w:val="0"/>
            <w:vAlign w:val="top"/>
          </w:tcPr>
          <w:p w14:paraId="4A5D277F">
            <w:pPr>
              <w:spacing w:before="296" w:line="220" w:lineRule="auto"/>
              <w:ind w:left="58"/>
              <w:jc w:val="center"/>
              <w:rPr>
                <w:rFonts w:ascii="宋体" w:hAnsi="宋体" w:cs="宋体"/>
                <w:b/>
                <w:bCs/>
                <w:spacing w:val="9"/>
                <w:sz w:val="24"/>
              </w:rPr>
            </w:pPr>
            <w:r>
              <w:rPr>
                <w:rFonts w:hint="eastAsia" w:ascii="宋体" w:hAnsi="宋体" w:cs="宋体"/>
                <w:b/>
                <w:bCs/>
                <w:spacing w:val="9"/>
                <w:sz w:val="24"/>
              </w:rPr>
              <w:t>佐证材料份数</w:t>
            </w:r>
          </w:p>
        </w:tc>
      </w:tr>
      <w:tr w14:paraId="7A78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32" w:type="dxa"/>
            <w:vMerge w:val="restart"/>
            <w:noWrap w:val="0"/>
            <w:vAlign w:val="center"/>
          </w:tcPr>
          <w:p w14:paraId="7B2E646A">
            <w:pPr>
              <w:spacing w:before="78" w:line="219" w:lineRule="auto"/>
              <w:jc w:val="both"/>
              <w:rPr>
                <w:rFonts w:hint="eastAsia" w:ascii="宋体" w:hAnsi="宋体" w:cs="宋体"/>
                <w:snapToGrid w:val="0"/>
                <w:color w:val="000000"/>
                <w:kern w:val="0"/>
                <w:sz w:val="24"/>
              </w:rPr>
            </w:pPr>
            <w:r>
              <w:rPr>
                <w:rFonts w:ascii="宋体" w:hAnsi="宋体" w:cs="宋体"/>
                <w:spacing w:val="-2"/>
                <w:sz w:val="24"/>
              </w:rPr>
              <w:t>重点专科</w:t>
            </w:r>
          </w:p>
        </w:tc>
        <w:tc>
          <w:tcPr>
            <w:tcW w:w="1350" w:type="dxa"/>
            <w:noWrap w:val="0"/>
            <w:vAlign w:val="center"/>
          </w:tcPr>
          <w:p w14:paraId="220E2062">
            <w:pPr>
              <w:spacing w:before="78" w:line="220" w:lineRule="auto"/>
              <w:jc w:val="center"/>
              <w:rPr>
                <w:rFonts w:hint="eastAsia" w:ascii="宋体" w:hAnsi="宋体" w:cs="宋体"/>
                <w:snapToGrid w:val="0"/>
                <w:color w:val="000000"/>
                <w:kern w:val="0"/>
                <w:sz w:val="24"/>
              </w:rPr>
            </w:pPr>
            <w:r>
              <w:rPr>
                <w:rFonts w:ascii="宋体" w:hAnsi="宋体" w:cs="宋体"/>
                <w:spacing w:val="5"/>
                <w:sz w:val="24"/>
              </w:rPr>
              <w:t>国家</w:t>
            </w:r>
            <w:r>
              <w:rPr>
                <w:rFonts w:ascii="宋体" w:hAnsi="宋体" w:cs="宋体"/>
                <w:spacing w:val="4"/>
                <w:sz w:val="24"/>
              </w:rPr>
              <w:t>级</w:t>
            </w:r>
          </w:p>
        </w:tc>
        <w:tc>
          <w:tcPr>
            <w:tcW w:w="1587" w:type="dxa"/>
            <w:noWrap w:val="0"/>
            <w:vAlign w:val="center"/>
          </w:tcPr>
          <w:p w14:paraId="2B1B06EC">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7E194F51">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26926A39">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2E60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Merge w:val="continue"/>
            <w:noWrap w:val="0"/>
            <w:vAlign w:val="center"/>
          </w:tcPr>
          <w:p w14:paraId="65B161CA">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350" w:type="dxa"/>
            <w:noWrap w:val="0"/>
            <w:vAlign w:val="center"/>
          </w:tcPr>
          <w:p w14:paraId="7AAFE820">
            <w:pPr>
              <w:spacing w:before="78" w:line="219" w:lineRule="auto"/>
              <w:jc w:val="center"/>
              <w:rPr>
                <w:rFonts w:hint="eastAsia" w:ascii="宋体" w:hAnsi="宋体" w:cs="宋体"/>
                <w:snapToGrid w:val="0"/>
                <w:color w:val="000000"/>
                <w:kern w:val="0"/>
                <w:sz w:val="24"/>
              </w:rPr>
            </w:pPr>
            <w:r>
              <w:rPr>
                <w:rFonts w:ascii="宋体" w:hAnsi="宋体" w:cs="宋体"/>
                <w:spacing w:val="7"/>
                <w:sz w:val="24"/>
              </w:rPr>
              <w:t>省级</w:t>
            </w:r>
          </w:p>
        </w:tc>
        <w:tc>
          <w:tcPr>
            <w:tcW w:w="1587" w:type="dxa"/>
            <w:noWrap w:val="0"/>
            <w:vAlign w:val="center"/>
          </w:tcPr>
          <w:p w14:paraId="0B2A5A42">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07F2940F">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69E5D96A">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445D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Merge w:val="continue"/>
            <w:noWrap w:val="0"/>
            <w:vAlign w:val="center"/>
          </w:tcPr>
          <w:p w14:paraId="6968190A">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350" w:type="dxa"/>
            <w:noWrap w:val="0"/>
            <w:vAlign w:val="center"/>
          </w:tcPr>
          <w:p w14:paraId="41DEEA17">
            <w:pPr>
              <w:spacing w:before="78" w:line="220" w:lineRule="auto"/>
              <w:jc w:val="center"/>
              <w:rPr>
                <w:rFonts w:hint="eastAsia" w:ascii="仿宋_GB2312" w:hAnsi="仿宋_GB2312" w:eastAsia="仿宋_GB2312" w:cs="仿宋_GB2312"/>
                <w:spacing w:val="-8"/>
                <w:sz w:val="32"/>
                <w:szCs w:val="32"/>
                <w:lang w:val="en-US" w:eastAsia="zh-CN"/>
              </w:rPr>
            </w:pPr>
            <w:r>
              <w:rPr>
                <w:rFonts w:hint="eastAsia" w:ascii="宋体" w:hAnsi="宋体" w:cs="宋体"/>
                <w:spacing w:val="5"/>
                <w:sz w:val="24"/>
                <w:lang w:val="en-US" w:eastAsia="zh-CN"/>
              </w:rPr>
              <w:t>市级</w:t>
            </w:r>
          </w:p>
        </w:tc>
        <w:tc>
          <w:tcPr>
            <w:tcW w:w="1587" w:type="dxa"/>
            <w:noWrap w:val="0"/>
            <w:vAlign w:val="center"/>
          </w:tcPr>
          <w:p w14:paraId="263181C1">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358077B0">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2A47D700">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5323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Merge w:val="restart"/>
            <w:noWrap w:val="0"/>
            <w:vAlign w:val="center"/>
          </w:tcPr>
          <w:p w14:paraId="572417E9">
            <w:pPr>
              <w:spacing w:before="78" w:line="304" w:lineRule="auto"/>
              <w:ind w:right="103"/>
              <w:jc w:val="both"/>
              <w:rPr>
                <w:rFonts w:hint="eastAsia" w:ascii="宋体" w:hAnsi="宋体" w:cs="宋体"/>
                <w:snapToGrid w:val="0"/>
                <w:color w:val="000000"/>
                <w:kern w:val="0"/>
                <w:sz w:val="24"/>
              </w:rPr>
            </w:pPr>
            <w:r>
              <w:rPr>
                <w:rFonts w:ascii="宋体" w:hAnsi="宋体" w:cs="宋体"/>
                <w:spacing w:val="6"/>
                <w:sz w:val="24"/>
              </w:rPr>
              <w:t>区</w:t>
            </w:r>
            <w:r>
              <w:rPr>
                <w:rFonts w:ascii="宋体" w:hAnsi="宋体" w:cs="宋体"/>
                <w:spacing w:val="5"/>
                <w:sz w:val="24"/>
              </w:rPr>
              <w:t>域</w:t>
            </w:r>
            <w:r>
              <w:rPr>
                <w:rFonts w:hint="eastAsia" w:ascii="宋体" w:hAnsi="宋体" w:cs="宋体"/>
                <w:spacing w:val="5"/>
                <w:sz w:val="24"/>
                <w:lang w:val="en-US" w:eastAsia="zh-CN"/>
              </w:rPr>
              <w:t>医疗</w:t>
            </w:r>
            <w:r>
              <w:rPr>
                <w:rFonts w:ascii="宋体" w:hAnsi="宋体" w:cs="宋体"/>
                <w:spacing w:val="5"/>
                <w:sz w:val="24"/>
              </w:rPr>
              <w:t>中</w:t>
            </w:r>
            <w:r>
              <w:rPr>
                <w:rFonts w:ascii="宋体" w:hAnsi="宋体" w:cs="宋体"/>
                <w:sz w:val="24"/>
              </w:rPr>
              <w:t>心</w:t>
            </w:r>
          </w:p>
        </w:tc>
        <w:tc>
          <w:tcPr>
            <w:tcW w:w="1350" w:type="dxa"/>
            <w:noWrap w:val="0"/>
            <w:vAlign w:val="center"/>
          </w:tcPr>
          <w:p w14:paraId="19FA8F38">
            <w:pPr>
              <w:spacing w:before="247" w:line="220" w:lineRule="auto"/>
              <w:jc w:val="center"/>
              <w:rPr>
                <w:rFonts w:hint="eastAsia" w:ascii="宋体" w:hAnsi="宋体" w:cs="宋体"/>
                <w:snapToGrid w:val="0"/>
                <w:color w:val="000000"/>
                <w:kern w:val="0"/>
                <w:sz w:val="24"/>
              </w:rPr>
            </w:pPr>
            <w:r>
              <w:rPr>
                <w:rFonts w:ascii="宋体" w:hAnsi="宋体" w:cs="宋体"/>
                <w:spacing w:val="5"/>
                <w:sz w:val="24"/>
              </w:rPr>
              <w:t>国家</w:t>
            </w:r>
            <w:r>
              <w:rPr>
                <w:rFonts w:ascii="宋体" w:hAnsi="宋体" w:cs="宋体"/>
                <w:spacing w:val="4"/>
                <w:sz w:val="24"/>
              </w:rPr>
              <w:t>级</w:t>
            </w:r>
          </w:p>
        </w:tc>
        <w:tc>
          <w:tcPr>
            <w:tcW w:w="1587" w:type="dxa"/>
            <w:noWrap w:val="0"/>
            <w:vAlign w:val="center"/>
          </w:tcPr>
          <w:p w14:paraId="716D7CC2">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2D0252E5">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1C6A6D95">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0C70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Merge w:val="continue"/>
            <w:noWrap w:val="0"/>
            <w:vAlign w:val="center"/>
          </w:tcPr>
          <w:p w14:paraId="0B4D0C3F">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350" w:type="dxa"/>
            <w:noWrap w:val="0"/>
            <w:vAlign w:val="center"/>
          </w:tcPr>
          <w:p w14:paraId="1B1BC322">
            <w:pPr>
              <w:spacing w:before="227" w:line="219" w:lineRule="auto"/>
              <w:jc w:val="center"/>
              <w:rPr>
                <w:rFonts w:hint="eastAsia" w:ascii="宋体" w:hAnsi="宋体" w:cs="宋体"/>
                <w:snapToGrid w:val="0"/>
                <w:color w:val="000000"/>
                <w:kern w:val="0"/>
                <w:sz w:val="24"/>
              </w:rPr>
            </w:pPr>
            <w:r>
              <w:rPr>
                <w:rFonts w:ascii="宋体" w:hAnsi="宋体" w:cs="宋体"/>
                <w:spacing w:val="7"/>
                <w:sz w:val="24"/>
              </w:rPr>
              <w:t>省级</w:t>
            </w:r>
          </w:p>
        </w:tc>
        <w:tc>
          <w:tcPr>
            <w:tcW w:w="1587" w:type="dxa"/>
            <w:noWrap w:val="0"/>
            <w:vAlign w:val="center"/>
          </w:tcPr>
          <w:p w14:paraId="5C4AE525">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351E5DE1">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4CF95D0B">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5543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Merge w:val="continue"/>
            <w:noWrap w:val="0"/>
            <w:vAlign w:val="center"/>
          </w:tcPr>
          <w:p w14:paraId="5AFE507B">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350" w:type="dxa"/>
            <w:noWrap w:val="0"/>
            <w:vAlign w:val="center"/>
          </w:tcPr>
          <w:p w14:paraId="6A457A00">
            <w:pPr>
              <w:spacing w:before="277" w:line="219" w:lineRule="auto"/>
              <w:jc w:val="center"/>
              <w:rPr>
                <w:rFonts w:hint="eastAsia" w:ascii="宋体" w:hAnsi="宋体" w:cs="宋体"/>
                <w:snapToGrid w:val="0"/>
                <w:color w:val="000000"/>
                <w:kern w:val="0"/>
                <w:sz w:val="24"/>
              </w:rPr>
            </w:pPr>
            <w:r>
              <w:rPr>
                <w:rFonts w:ascii="宋体" w:hAnsi="宋体" w:cs="宋体"/>
                <w:spacing w:val="7"/>
                <w:sz w:val="24"/>
              </w:rPr>
              <w:t>市级</w:t>
            </w:r>
          </w:p>
        </w:tc>
        <w:tc>
          <w:tcPr>
            <w:tcW w:w="1587" w:type="dxa"/>
            <w:noWrap w:val="0"/>
            <w:vAlign w:val="center"/>
          </w:tcPr>
          <w:p w14:paraId="237E9316">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7537F6AA">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2907535B">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1428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Merge w:val="restart"/>
            <w:noWrap w:val="0"/>
            <w:vAlign w:val="center"/>
          </w:tcPr>
          <w:p w14:paraId="6C9FB0B9">
            <w:pPr>
              <w:spacing w:line="218" w:lineRule="auto"/>
              <w:jc w:val="both"/>
              <w:rPr>
                <w:rFonts w:hint="default" w:ascii="宋体" w:hAnsi="宋体" w:cs="宋体" w:eastAsiaTheme="minorEastAsia"/>
                <w:snapToGrid w:val="0"/>
                <w:color w:val="000000"/>
                <w:kern w:val="0"/>
                <w:sz w:val="24"/>
                <w:lang w:val="en-US" w:eastAsia="zh-CN"/>
              </w:rPr>
            </w:pPr>
            <w:r>
              <w:rPr>
                <w:rFonts w:hint="eastAsia" w:ascii="宋体" w:hAnsi="宋体" w:cs="宋体"/>
                <w:spacing w:val="3"/>
                <w:position w:val="7"/>
                <w:sz w:val="24"/>
                <w:lang w:val="en-US" w:eastAsia="zh-CN"/>
              </w:rPr>
              <w:t>医疗救治中心</w:t>
            </w:r>
          </w:p>
        </w:tc>
        <w:tc>
          <w:tcPr>
            <w:tcW w:w="1350" w:type="dxa"/>
            <w:shd w:val="clear" w:color="auto" w:fill="auto"/>
            <w:noWrap w:val="0"/>
            <w:vAlign w:val="center"/>
          </w:tcPr>
          <w:p w14:paraId="10D5B7F6">
            <w:pPr>
              <w:spacing w:before="247" w:line="220" w:lineRule="auto"/>
              <w:jc w:val="center"/>
              <w:rPr>
                <w:rFonts w:hint="eastAsia" w:ascii="宋体" w:hAnsi="宋体" w:cs="宋体" w:eastAsiaTheme="minorEastAsia"/>
                <w:snapToGrid w:val="0"/>
                <w:color w:val="000000"/>
                <w:kern w:val="0"/>
                <w:sz w:val="24"/>
                <w:szCs w:val="24"/>
                <w:lang w:val="en-US" w:eastAsia="zh-CN" w:bidi="ar-SA"/>
              </w:rPr>
            </w:pPr>
            <w:r>
              <w:rPr>
                <w:rFonts w:ascii="宋体" w:hAnsi="宋体" w:cs="宋体"/>
                <w:spacing w:val="5"/>
                <w:sz w:val="24"/>
              </w:rPr>
              <w:t>国家</w:t>
            </w:r>
            <w:r>
              <w:rPr>
                <w:rFonts w:ascii="宋体" w:hAnsi="宋体" w:cs="宋体"/>
                <w:spacing w:val="4"/>
                <w:sz w:val="24"/>
              </w:rPr>
              <w:t>级</w:t>
            </w:r>
          </w:p>
        </w:tc>
        <w:tc>
          <w:tcPr>
            <w:tcW w:w="1587" w:type="dxa"/>
            <w:noWrap w:val="0"/>
            <w:vAlign w:val="center"/>
          </w:tcPr>
          <w:p w14:paraId="30628C22">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6B64C670">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1A99263C">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0160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2" w:type="dxa"/>
            <w:vMerge w:val="continue"/>
            <w:noWrap w:val="0"/>
            <w:vAlign w:val="center"/>
          </w:tcPr>
          <w:p w14:paraId="1BA39678">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350" w:type="dxa"/>
            <w:shd w:val="clear" w:color="auto" w:fill="auto"/>
            <w:noWrap w:val="0"/>
            <w:vAlign w:val="center"/>
          </w:tcPr>
          <w:p w14:paraId="040C73EE">
            <w:pPr>
              <w:spacing w:before="227" w:line="219" w:lineRule="auto"/>
              <w:jc w:val="center"/>
              <w:rPr>
                <w:rFonts w:hint="eastAsia" w:ascii="宋体" w:hAnsi="宋体" w:cs="宋体" w:eastAsiaTheme="minorEastAsia"/>
                <w:snapToGrid w:val="0"/>
                <w:color w:val="000000"/>
                <w:kern w:val="0"/>
                <w:sz w:val="24"/>
                <w:szCs w:val="24"/>
                <w:lang w:val="en-US" w:eastAsia="zh-CN" w:bidi="ar-SA"/>
              </w:rPr>
            </w:pPr>
            <w:r>
              <w:rPr>
                <w:rFonts w:ascii="宋体" w:hAnsi="宋体" w:cs="宋体"/>
                <w:spacing w:val="7"/>
                <w:sz w:val="24"/>
              </w:rPr>
              <w:t>省级</w:t>
            </w:r>
          </w:p>
        </w:tc>
        <w:tc>
          <w:tcPr>
            <w:tcW w:w="1587" w:type="dxa"/>
            <w:noWrap w:val="0"/>
            <w:vAlign w:val="center"/>
          </w:tcPr>
          <w:p w14:paraId="5019E9EC">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60F7DA1B">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282008A9">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038C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Merge w:val="continue"/>
            <w:noWrap w:val="0"/>
            <w:vAlign w:val="center"/>
          </w:tcPr>
          <w:p w14:paraId="56768635">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350" w:type="dxa"/>
            <w:shd w:val="clear" w:color="auto" w:fill="auto"/>
            <w:noWrap w:val="0"/>
            <w:vAlign w:val="center"/>
          </w:tcPr>
          <w:p w14:paraId="15D8F7A6">
            <w:pPr>
              <w:spacing w:before="277" w:line="219" w:lineRule="auto"/>
              <w:jc w:val="center"/>
              <w:rPr>
                <w:rFonts w:hint="eastAsia" w:ascii="宋体" w:hAnsi="宋体" w:cs="宋体" w:eastAsiaTheme="minorEastAsia"/>
                <w:snapToGrid w:val="0"/>
                <w:color w:val="000000"/>
                <w:kern w:val="0"/>
                <w:sz w:val="24"/>
                <w:szCs w:val="24"/>
                <w:lang w:val="en-US" w:eastAsia="zh-CN" w:bidi="ar-SA"/>
              </w:rPr>
            </w:pPr>
            <w:r>
              <w:rPr>
                <w:rFonts w:ascii="宋体" w:hAnsi="宋体" w:cs="宋体"/>
                <w:spacing w:val="7"/>
                <w:sz w:val="24"/>
              </w:rPr>
              <w:t>市级</w:t>
            </w:r>
          </w:p>
        </w:tc>
        <w:tc>
          <w:tcPr>
            <w:tcW w:w="1587" w:type="dxa"/>
            <w:noWrap w:val="0"/>
            <w:vAlign w:val="center"/>
          </w:tcPr>
          <w:p w14:paraId="5C9135BB">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09F9956C">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7D5CD028">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r w14:paraId="2F27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noWrap w:val="0"/>
            <w:vAlign w:val="center"/>
          </w:tcPr>
          <w:p w14:paraId="2FF88EDD">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合计</w:t>
            </w:r>
          </w:p>
        </w:tc>
        <w:tc>
          <w:tcPr>
            <w:tcW w:w="1350" w:type="dxa"/>
            <w:shd w:val="clear" w:color="auto" w:fill="auto"/>
            <w:noWrap w:val="0"/>
            <w:vAlign w:val="center"/>
          </w:tcPr>
          <w:p w14:paraId="609EA65F">
            <w:pPr>
              <w:spacing w:before="277" w:line="219" w:lineRule="auto"/>
              <w:jc w:val="center"/>
              <w:rPr>
                <w:rFonts w:ascii="宋体" w:hAnsi="宋体" w:cs="宋体"/>
                <w:spacing w:val="7"/>
                <w:sz w:val="24"/>
              </w:rPr>
            </w:pPr>
          </w:p>
        </w:tc>
        <w:tc>
          <w:tcPr>
            <w:tcW w:w="1587" w:type="dxa"/>
            <w:noWrap w:val="0"/>
            <w:vAlign w:val="center"/>
          </w:tcPr>
          <w:p w14:paraId="2ACDAF0C">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1587" w:type="dxa"/>
            <w:noWrap w:val="0"/>
            <w:vAlign w:val="center"/>
          </w:tcPr>
          <w:p w14:paraId="12696AEF">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c>
          <w:tcPr>
            <w:tcW w:w="2363" w:type="dxa"/>
            <w:noWrap w:val="0"/>
            <w:vAlign w:val="center"/>
          </w:tcPr>
          <w:p w14:paraId="4741C900">
            <w:pPr>
              <w:widowControl/>
              <w:kinsoku w:val="0"/>
              <w:autoSpaceDE w:val="0"/>
              <w:autoSpaceDN w:val="0"/>
              <w:adjustRightInd w:val="0"/>
              <w:snapToGrid w:val="0"/>
              <w:spacing w:line="560" w:lineRule="exact"/>
              <w:jc w:val="center"/>
              <w:textAlignment w:val="baseline"/>
              <w:rPr>
                <w:rFonts w:hint="eastAsia" w:ascii="仿宋_GB2312" w:hAnsi="仿宋_GB2312" w:eastAsia="仿宋_GB2312" w:cs="仿宋_GB2312"/>
                <w:spacing w:val="-8"/>
                <w:sz w:val="32"/>
                <w:szCs w:val="32"/>
              </w:rPr>
            </w:pPr>
          </w:p>
        </w:tc>
      </w:tr>
    </w:tbl>
    <w:p w14:paraId="42309115">
      <w:pPr>
        <w:pStyle w:val="2"/>
        <w:rPr>
          <w:rFonts w:hint="eastAsia" w:ascii="仿宋_GB2312" w:hAnsi="仿宋_GB2312" w:eastAsia="仿宋_GB2312" w:cs="仿宋_GB2312"/>
          <w:spacing w:val="-8"/>
          <w:sz w:val="32"/>
          <w:szCs w:val="32"/>
        </w:rPr>
      </w:pPr>
    </w:p>
    <w:p w14:paraId="47026C03">
      <w:pPr>
        <w:pStyle w:val="2"/>
        <w:rPr>
          <w:rFonts w:hint="eastAsia"/>
        </w:rPr>
      </w:pPr>
    </w:p>
    <w:p w14:paraId="767463BD">
      <w:pPr>
        <w:pStyle w:val="2"/>
        <w:rPr>
          <w:rFonts w:hint="eastAsia" w:ascii="方正小标宋简体" w:hAnsi="方正小标宋简体" w:eastAsia="方正小标宋简体" w:cs="方正小标宋简体"/>
          <w:sz w:val="32"/>
          <w:szCs w:val="32"/>
        </w:rPr>
      </w:pPr>
    </w:p>
    <w:p w14:paraId="3ACCA762">
      <w:pPr>
        <w:pStyle w:val="2"/>
        <w:ind w:firstLine="2200" w:firstLineChars="500"/>
        <w:rPr>
          <w:rFonts w:hint="eastAsia" w:ascii="方正小标宋简体" w:hAnsi="方正小标宋简体" w:eastAsia="方正小标宋简体" w:cs="方正小标宋简体"/>
          <w:sz w:val="44"/>
          <w:szCs w:val="44"/>
        </w:rPr>
      </w:pPr>
    </w:p>
    <w:p w14:paraId="50037386">
      <w:pPr>
        <w:pStyle w:val="2"/>
        <w:rPr>
          <w:rFonts w:hint="eastAsia" w:ascii="方正小标宋简体" w:hAnsi="方正小标宋简体" w:eastAsia="方正小标宋简体" w:cs="方正小标宋简体"/>
          <w:sz w:val="44"/>
          <w:szCs w:val="44"/>
        </w:rPr>
      </w:pPr>
    </w:p>
    <w:p w14:paraId="5E1DB30F">
      <w:pPr>
        <w:pStyle w:val="2"/>
        <w:rPr>
          <w:rFonts w:hint="eastAsia" w:ascii="方正小标宋简体" w:hAnsi="方正小标宋简体" w:eastAsia="方正小标宋简体" w:cs="方正小标宋简体"/>
          <w:sz w:val="44"/>
          <w:szCs w:val="44"/>
        </w:rPr>
      </w:pPr>
    </w:p>
    <w:p w14:paraId="4481068D">
      <w:pPr>
        <w:pStyle w:val="2"/>
        <w:keepNext w:val="0"/>
        <w:keepLines w:val="0"/>
        <w:pageBreakBefore w:val="0"/>
        <w:wordWrap/>
        <w:overflowPunct/>
        <w:topLinePunct w:val="0"/>
        <w:bidi w:val="0"/>
        <w:spacing w:line="560" w:lineRule="exact"/>
        <w:jc w:val="both"/>
        <w:rPr>
          <w:rFonts w:hint="eastAsia" w:ascii="仿宋_GB2312" w:hAnsi="仿宋_GB2312" w:eastAsia="仿宋_GB2312" w:cs="仿宋_GB2312"/>
          <w:kern w:val="2"/>
          <w:sz w:val="32"/>
          <w:szCs w:val="32"/>
          <w:lang w:val="en-US" w:eastAsia="zh-CN" w:bidi="ar-SA"/>
        </w:rPr>
      </w:pPr>
    </w:p>
    <w:p w14:paraId="637DD4D7">
      <w:pPr>
        <w:pStyle w:val="2"/>
        <w:keepNext w:val="0"/>
        <w:keepLines w:val="0"/>
        <w:pageBreakBefore w:val="0"/>
        <w:wordWrap/>
        <w:overflowPunct/>
        <w:topLinePunct w:val="0"/>
        <w:bidi w:val="0"/>
        <w:spacing w:line="560"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w:t>
      </w:r>
    </w:p>
    <w:p w14:paraId="150123DB">
      <w:pPr>
        <w:pStyle w:val="2"/>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云浮市按病种分值付费（DIP）辅助目录调整系数设置细则</w:t>
      </w:r>
    </w:p>
    <w:p w14:paraId="60F79662">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一、建立疾病严重程度目录</w:t>
      </w:r>
    </w:p>
    <w:p w14:paraId="6270AEE3">
      <w:pPr>
        <w:keepNext w:val="0"/>
        <w:keepLines w:val="0"/>
        <w:pageBreakBefore w:val="0"/>
        <w:widowControl/>
        <w:kinsoku w:val="0"/>
        <w:wordWrap/>
        <w:overflowPunct/>
        <w:topLinePunct w:val="0"/>
        <w:autoSpaceDE w:val="0"/>
        <w:autoSpaceDN w:val="0"/>
        <w:bidi w:val="0"/>
        <w:adjustRightInd w:val="0"/>
        <w:snapToGrid w:val="0"/>
        <w:spacing w:line="560" w:lineRule="exact"/>
        <w:ind w:right="6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疾病严重程度分型辅助目录根据是否具有并发症/合并症、并发症/合并症危及范围及死亡状态等疾病数据特征，划定不同辅助目录等级并赋予加权系数，客观反映疾病的复杂程度以及资源的消耗水平。</w:t>
      </w:r>
    </w:p>
    <w:p w14:paraId="2489BA10">
      <w:pPr>
        <w:keepNext w:val="0"/>
        <w:keepLines w:val="0"/>
        <w:pageBreakBefore w:val="0"/>
        <w:widowControl/>
        <w:kinsoku w:val="0"/>
        <w:wordWrap/>
        <w:overflowPunct/>
        <w:topLinePunct w:val="0"/>
        <w:autoSpaceDE w:val="0"/>
        <w:autoSpaceDN w:val="0"/>
        <w:bidi w:val="0"/>
        <w:adjustRightInd w:val="0"/>
        <w:snapToGrid w:val="0"/>
        <w:spacing w:line="560" w:lineRule="exact"/>
        <w:ind w:right="65"/>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pacing w:val="-11"/>
          <w:sz w:val="32"/>
          <w:szCs w:val="32"/>
        </w:rPr>
        <w:t>（一）非肿瘤病例疾病严重程度分型标准，目录及加权系数。</w:t>
      </w:r>
    </w:p>
    <w:p w14:paraId="77FF1070">
      <w:pPr>
        <w:keepNext w:val="0"/>
        <w:keepLines w:val="0"/>
        <w:pageBreakBefore w:val="0"/>
        <w:widowControl/>
        <w:kinsoku w:val="0"/>
        <w:wordWrap/>
        <w:overflowPunct/>
        <w:topLinePunct w:val="0"/>
        <w:autoSpaceDE w:val="0"/>
        <w:autoSpaceDN w:val="0"/>
        <w:bidi w:val="0"/>
        <w:adjustRightInd w:val="0"/>
        <w:snapToGrid w:val="0"/>
        <w:spacing w:line="560" w:lineRule="exact"/>
        <w:ind w:right="6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死亡病例（IV 级）</w:t>
      </w:r>
    </w:p>
    <w:p w14:paraId="019E698A">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死亡病例以住院天数 3 天为界分为两组，其中住院天数 3 天及 3天以下的作为Ⅳ-A 级，住院天数 3 天以上的作为Ⅳ-B 级。</w:t>
      </w:r>
    </w:p>
    <w:p w14:paraId="506FB104">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重度病例（Ⅲ级）</w:t>
      </w:r>
    </w:p>
    <w:p w14:paraId="673F43F7">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重度病例是病情较为严重，除主要诊断以外，同时具有“功能衰竭、休克、菌血症、脓毒血症”等全身系统性并发症/合并症的次要诊断，且住院天数 3 天以上的病例。</w:t>
      </w:r>
    </w:p>
    <w:p w14:paraId="3DDC163C">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中度病例（Ⅱ级）</w:t>
      </w:r>
    </w:p>
    <w:p w14:paraId="7FFA7EC7">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中度病例是除主要诊断以外，同时具有“重要器官病损+重要脏器感染”等局灶性并发症/合并症的次要诊断，且住院天数 3 天以上的病例。</w:t>
      </w:r>
    </w:p>
    <w:p w14:paraId="76113132">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次要诊断</w:t>
      </w:r>
      <w:r>
        <w:rPr>
          <w:rFonts w:hint="eastAsia" w:ascii="仿宋_GB2312" w:hAnsi="仿宋_GB2312" w:eastAsia="仿宋_GB2312" w:cs="仿宋_GB2312"/>
          <w:sz w:val="32"/>
          <w:szCs w:val="32"/>
          <w:lang w:val="en-US" w:eastAsia="zh-CN"/>
        </w:rPr>
        <w:t>病种</w:t>
      </w:r>
      <w:r>
        <w:rPr>
          <w:rFonts w:hint="eastAsia" w:ascii="仿宋_GB2312" w:hAnsi="仿宋_GB2312" w:eastAsia="仿宋_GB2312" w:cs="仿宋_GB2312"/>
          <w:sz w:val="32"/>
          <w:szCs w:val="32"/>
        </w:rPr>
        <w:t>辅助目录(I-A级)。将住院天数3天及3天以下的病例作为I-A级。</w:t>
      </w:r>
    </w:p>
    <w:p w14:paraId="6A50B8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（二）肿瘤病例疾病严重程度分型标准，目录及加权系数。</w:t>
      </w:r>
    </w:p>
    <w:p w14:paraId="04977931">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恶性肿瘤疾病是指 ICD-10 前三位为 C00~D09 以及主要诊断为 Z51.0、Z51.1、Z51.2、Z51.8的病例。具体分型规则如下:</w:t>
      </w:r>
    </w:p>
    <w:p w14:paraId="0E5F8B72">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1.死亡病例（</w:t>
      </w:r>
      <w:r>
        <w:rPr>
          <w:rFonts w:hint="default" w:ascii="仿宋_GB2312" w:hAnsi="仿宋_GB2312" w:eastAsia="仿宋_GB2312" w:cs="仿宋_GB2312"/>
          <w:sz w:val="32"/>
          <w:szCs w:val="32"/>
          <w:lang w:val="en-US" w:eastAsia="zh-CN"/>
        </w:rPr>
        <w:t xml:space="preserve">VI </w:t>
      </w:r>
      <w:r>
        <w:rPr>
          <w:rFonts w:hint="eastAsia" w:ascii="仿宋_GB2312" w:hAnsi="仿宋_GB2312" w:eastAsia="仿宋_GB2312" w:cs="仿宋_GB2312"/>
          <w:sz w:val="32"/>
          <w:szCs w:val="32"/>
          <w:lang w:val="en-US" w:eastAsia="zh-CN"/>
        </w:rPr>
        <w:t xml:space="preserve">级） </w:t>
      </w:r>
    </w:p>
    <w:p w14:paraId="67EC5936">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死亡病例以住院天数3天为界分为两组，其中住院天数3天及3天以下的作为 </w:t>
      </w:r>
      <w:r>
        <w:rPr>
          <w:rFonts w:hint="default" w:ascii="仿宋_GB2312" w:hAnsi="仿宋_GB2312" w:eastAsia="仿宋_GB2312" w:cs="仿宋_GB2312"/>
          <w:sz w:val="32"/>
          <w:szCs w:val="32"/>
          <w:lang w:val="en-US" w:eastAsia="zh-CN"/>
        </w:rPr>
        <w:t xml:space="preserve">VI-A </w:t>
      </w:r>
      <w:r>
        <w:rPr>
          <w:rFonts w:hint="eastAsia" w:ascii="仿宋_GB2312" w:hAnsi="仿宋_GB2312" w:eastAsia="仿宋_GB2312" w:cs="仿宋_GB2312"/>
          <w:sz w:val="32"/>
          <w:szCs w:val="32"/>
          <w:lang w:val="en-US" w:eastAsia="zh-CN"/>
        </w:rPr>
        <w:t xml:space="preserve">级，住院天数3天以上的作为 </w:t>
      </w:r>
      <w:r>
        <w:rPr>
          <w:rFonts w:hint="default" w:ascii="仿宋_GB2312" w:hAnsi="仿宋_GB2312" w:eastAsia="仿宋_GB2312" w:cs="仿宋_GB2312"/>
          <w:sz w:val="32"/>
          <w:szCs w:val="32"/>
          <w:lang w:val="en-US" w:eastAsia="zh-CN"/>
        </w:rPr>
        <w:t xml:space="preserve">VI-B </w:t>
      </w:r>
      <w:r>
        <w:rPr>
          <w:rFonts w:hint="eastAsia" w:ascii="仿宋_GB2312" w:hAnsi="仿宋_GB2312" w:eastAsia="仿宋_GB2312" w:cs="仿宋_GB2312"/>
          <w:sz w:val="32"/>
          <w:szCs w:val="32"/>
          <w:lang w:val="en-US" w:eastAsia="zh-CN"/>
        </w:rPr>
        <w:t xml:space="preserve">级。 </w:t>
      </w:r>
    </w:p>
    <w:p w14:paraId="6AD9E7D6">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2.放化疗病例（</w:t>
      </w:r>
      <w:r>
        <w:rPr>
          <w:rFonts w:hint="default" w:ascii="仿宋_GB2312" w:hAnsi="仿宋_GB2312" w:eastAsia="仿宋_GB2312" w:cs="仿宋_GB2312"/>
          <w:sz w:val="32"/>
          <w:szCs w:val="32"/>
          <w:lang w:val="en-US" w:eastAsia="zh-CN"/>
        </w:rPr>
        <w:t xml:space="preserve">V </w:t>
      </w:r>
      <w:r>
        <w:rPr>
          <w:rFonts w:hint="eastAsia" w:ascii="仿宋_GB2312" w:hAnsi="仿宋_GB2312" w:eastAsia="仿宋_GB2312" w:cs="仿宋_GB2312"/>
          <w:sz w:val="32"/>
          <w:szCs w:val="32"/>
          <w:lang w:val="en-US" w:eastAsia="zh-CN"/>
        </w:rPr>
        <w:t xml:space="preserve">级） </w:t>
      </w:r>
    </w:p>
    <w:p w14:paraId="157BACAC">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放化疗病例是肿瘤放、化疗对资源消耗有显著影响，住院总费用明显高于同 </w:t>
      </w:r>
      <w:r>
        <w:rPr>
          <w:rFonts w:hint="default" w:ascii="仿宋_GB2312" w:hAnsi="仿宋_GB2312" w:eastAsia="仿宋_GB2312" w:cs="仿宋_GB2312"/>
          <w:sz w:val="32"/>
          <w:szCs w:val="32"/>
          <w:lang w:val="en-US" w:eastAsia="zh-CN"/>
        </w:rPr>
        <w:t xml:space="preserve">DIP </w:t>
      </w:r>
      <w:r>
        <w:rPr>
          <w:rFonts w:hint="eastAsia" w:ascii="仿宋_GB2312" w:hAnsi="仿宋_GB2312" w:eastAsia="仿宋_GB2312" w:cs="仿宋_GB2312"/>
          <w:sz w:val="32"/>
          <w:szCs w:val="32"/>
          <w:lang w:val="en-US" w:eastAsia="zh-CN"/>
        </w:rPr>
        <w:t>其他病例的严重病例，其中Ⅴ</w:t>
      </w:r>
      <w:r>
        <w:rPr>
          <w:rFonts w:hint="default" w:ascii="仿宋_GB2312" w:hAnsi="仿宋_GB2312" w:eastAsia="仿宋_GB2312" w:cs="仿宋_GB2312"/>
          <w:sz w:val="32"/>
          <w:szCs w:val="32"/>
          <w:lang w:val="en-US" w:eastAsia="zh-CN"/>
        </w:rPr>
        <w:t xml:space="preserve">-A </w:t>
      </w:r>
      <w:r>
        <w:rPr>
          <w:rFonts w:hint="eastAsia" w:ascii="仿宋_GB2312" w:hAnsi="仿宋_GB2312" w:eastAsia="仿宋_GB2312" w:cs="仿宋_GB2312"/>
          <w:sz w:val="32"/>
          <w:szCs w:val="32"/>
          <w:lang w:val="en-US" w:eastAsia="zh-CN"/>
        </w:rPr>
        <w:t>级作为放疗严重病例，Ⅴ</w:t>
      </w:r>
      <w:r>
        <w:rPr>
          <w:rFonts w:hint="default" w:ascii="仿宋_GB2312" w:hAnsi="仿宋_GB2312" w:eastAsia="仿宋_GB2312" w:cs="仿宋_GB2312"/>
          <w:sz w:val="32"/>
          <w:szCs w:val="32"/>
          <w:lang w:val="en-US" w:eastAsia="zh-CN"/>
        </w:rPr>
        <w:t xml:space="preserve">-B </w:t>
      </w:r>
      <w:r>
        <w:rPr>
          <w:rFonts w:hint="eastAsia" w:ascii="仿宋_GB2312" w:hAnsi="仿宋_GB2312" w:eastAsia="仿宋_GB2312" w:cs="仿宋_GB2312"/>
          <w:sz w:val="32"/>
          <w:szCs w:val="32"/>
          <w:lang w:val="en-US" w:eastAsia="zh-CN"/>
        </w:rPr>
        <w:t xml:space="preserve">级作为化疗严重病例。 </w:t>
      </w:r>
    </w:p>
    <w:p w14:paraId="775B9EE4">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3.转移病例（</w:t>
      </w:r>
      <w:r>
        <w:rPr>
          <w:rFonts w:hint="default" w:ascii="仿宋_GB2312" w:hAnsi="仿宋_GB2312" w:eastAsia="仿宋_GB2312" w:cs="仿宋_GB2312"/>
          <w:sz w:val="32"/>
          <w:szCs w:val="32"/>
          <w:lang w:val="en-US" w:eastAsia="zh-CN"/>
        </w:rPr>
        <w:t xml:space="preserve">IV </w:t>
      </w:r>
      <w:r>
        <w:rPr>
          <w:rFonts w:hint="eastAsia" w:ascii="仿宋_GB2312" w:hAnsi="仿宋_GB2312" w:eastAsia="仿宋_GB2312" w:cs="仿宋_GB2312"/>
          <w:sz w:val="32"/>
          <w:szCs w:val="32"/>
          <w:lang w:val="en-US" w:eastAsia="zh-CN"/>
        </w:rPr>
        <w:t xml:space="preserve">级） </w:t>
      </w:r>
    </w:p>
    <w:p w14:paraId="6D2E7620">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转移病例是肿瘤有转移或在其他部位有并发肿瘤（次要诊断中含有肿瘤的诊断，所属类目与主要诊断不同），且住院天数3天以上的病例。 </w:t>
      </w:r>
    </w:p>
    <w:p w14:paraId="6E549308">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4.重度病例（Ⅲ级） </w:t>
      </w:r>
    </w:p>
    <w:p w14:paraId="00D54D84">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重度病例是病情较为严重，除主要诊断以外，同时具有“功能衰竭、休克、菌血症、脓毒血症”等全身系统性并发症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合并症的次要诊断，且住院天数3天以上的病例。 </w:t>
      </w:r>
    </w:p>
    <w:p w14:paraId="649A7343">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5.中度病例（Ⅱ级） </w:t>
      </w:r>
    </w:p>
    <w:p w14:paraId="2C6566D9">
      <w:pPr>
        <w:keepNext w:val="0"/>
        <w:keepLines w:val="0"/>
        <w:pageBreakBefore w:val="0"/>
        <w:widowControl/>
        <w:kinsoku w:val="0"/>
        <w:wordWrap/>
        <w:overflowPunct/>
        <w:topLinePunct w:val="0"/>
        <w:autoSpaceDE w:val="0"/>
        <w:autoSpaceDN w:val="0"/>
        <w:bidi w:val="0"/>
        <w:adjustRightInd w:val="0"/>
        <w:snapToGrid w:val="0"/>
        <w:spacing w:line="560" w:lineRule="exact"/>
        <w:ind w:right="65"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中度病例是除主要诊断以外，同时具有“重要器官病损</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重要脏器感染”等局灶性并发症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合并症的次要诊断，且住院天数3天以上的病例。</w:t>
      </w:r>
    </w:p>
    <w:p w14:paraId="58FC14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val="en-US" w:eastAsia="zh-CN"/>
        </w:rPr>
        <w:t xml:space="preserve"> 6.次要诊断病种辅助目录(I-A级)。</w:t>
      </w:r>
      <w:r>
        <w:rPr>
          <w:rFonts w:hint="eastAsia" w:ascii="仿宋_GB2312" w:hAnsi="仿宋_GB2312" w:eastAsia="仿宋_GB2312" w:cs="仿宋_GB2312"/>
          <w:sz w:val="32"/>
          <w:szCs w:val="32"/>
        </w:rPr>
        <w:t>将住院天数3天及3天以下的病例作为I-A级。</w:t>
      </w:r>
    </w:p>
    <w:p w14:paraId="768019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年龄辅助</w:t>
      </w:r>
      <w:r>
        <w:rPr>
          <w:rFonts w:hint="eastAsia" w:ascii="楷体_GB2312" w:hAnsi="楷体_GB2312" w:eastAsia="楷体_GB2312" w:cs="楷体_GB2312"/>
          <w:sz w:val="32"/>
          <w:szCs w:val="32"/>
          <w:lang w:val="en-US" w:eastAsia="zh-CN"/>
        </w:rPr>
        <w:t>分型</w:t>
      </w:r>
    </w:p>
    <w:p w14:paraId="5DD24C86">
      <w:pPr>
        <w:keepNext w:val="0"/>
        <w:keepLines w:val="0"/>
        <w:pageBreakBefore w:val="0"/>
        <w:widowControl/>
        <w:kinsoku w:val="0"/>
        <w:wordWrap/>
        <w:overflowPunct/>
        <w:topLinePunct w:val="0"/>
        <w:autoSpaceDE w:val="0"/>
        <w:autoSpaceDN w:val="0"/>
        <w:bidi w:val="0"/>
        <w:adjustRightInd w:val="0"/>
        <w:snapToGrid w:val="0"/>
        <w:spacing w:line="560" w:lineRule="exact"/>
        <w:ind w:right="11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年龄特征辅助分型，分为：0－28天、29天－1岁前、1－</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岁、6</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岁及以上等类别</w:t>
      </w:r>
      <w:r>
        <w:rPr>
          <w:rFonts w:hint="eastAsia" w:ascii="仿宋_GB2312" w:hAnsi="仿宋_GB2312" w:eastAsia="仿宋_GB2312" w:cs="仿宋_GB2312"/>
          <w:sz w:val="32"/>
          <w:szCs w:val="32"/>
          <w:lang w:eastAsia="zh-CN"/>
        </w:rPr>
        <w:t>。</w:t>
      </w:r>
    </w:p>
    <w:p w14:paraId="3944D4C3">
      <w:pPr>
        <w:keepNext w:val="0"/>
        <w:keepLines w:val="0"/>
        <w:pageBreakBefore w:val="0"/>
        <w:widowControl/>
        <w:kinsoku w:val="0"/>
        <w:wordWrap/>
        <w:overflowPunct/>
        <w:topLinePunct w:val="0"/>
        <w:autoSpaceDE w:val="0"/>
        <w:autoSpaceDN w:val="0"/>
        <w:bidi w:val="0"/>
        <w:adjustRightInd w:val="0"/>
        <w:snapToGrid w:val="0"/>
        <w:spacing w:line="560" w:lineRule="exact"/>
        <w:ind w:right="65"/>
        <w:textAlignment w:val="baseline"/>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二</w:t>
      </w:r>
      <w:r>
        <w:rPr>
          <w:rFonts w:hint="eastAsia" w:ascii="黑体" w:hAnsi="黑体" w:eastAsia="黑体" w:cs="黑体"/>
          <w:sz w:val="32"/>
          <w:szCs w:val="32"/>
        </w:rPr>
        <w:t>、病种辅助目录的应用</w:t>
      </w:r>
    </w:p>
    <w:p w14:paraId="754E74CB">
      <w:pPr>
        <w:keepNext w:val="0"/>
        <w:keepLines w:val="0"/>
        <w:pageBreakBefore w:val="0"/>
        <w:widowControl/>
        <w:kinsoku w:val="0"/>
        <w:wordWrap/>
        <w:overflowPunct/>
        <w:topLinePunct w:val="0"/>
        <w:autoSpaceDE w:val="0"/>
        <w:autoSpaceDN w:val="0"/>
        <w:bidi w:val="0"/>
        <w:adjustRightInd w:val="0"/>
        <w:snapToGrid w:val="0"/>
        <w:spacing w:line="560" w:lineRule="exact"/>
        <w:ind w:right="104" w:firstLine="64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）纳入辅助分型调整系数计算的病例应同时满足以下条件:</w:t>
      </w:r>
    </w:p>
    <w:p w14:paraId="4D819A6A">
      <w:pPr>
        <w:keepNext w:val="0"/>
        <w:keepLines w:val="0"/>
        <w:pageBreakBefore w:val="0"/>
        <w:widowControl/>
        <w:kinsoku w:val="0"/>
        <w:wordWrap/>
        <w:overflowPunct/>
        <w:topLinePunct w:val="0"/>
        <w:autoSpaceDE w:val="0"/>
        <w:autoSpaceDN w:val="0"/>
        <w:bidi w:val="0"/>
        <w:adjustRightInd w:val="0"/>
        <w:snapToGrid w:val="0"/>
        <w:spacing w:line="560" w:lineRule="exact"/>
        <w:ind w:right="104" w:firstLine="64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1.符合辅助分型的类型及分型规则;</w:t>
      </w:r>
    </w:p>
    <w:p w14:paraId="6B1C26A5">
      <w:pPr>
        <w:keepNext w:val="0"/>
        <w:keepLines w:val="0"/>
        <w:pageBreakBefore w:val="0"/>
        <w:widowControl/>
        <w:kinsoku w:val="0"/>
        <w:wordWrap/>
        <w:overflowPunct/>
        <w:topLinePunct w:val="0"/>
        <w:autoSpaceDE w:val="0"/>
        <w:autoSpaceDN w:val="0"/>
        <w:bidi w:val="0"/>
        <w:adjustRightInd w:val="0"/>
        <w:snapToGrid w:val="0"/>
        <w:spacing w:line="560" w:lineRule="exact"/>
        <w:ind w:right="104"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2.病例医疗费用偏差</w:t>
      </w:r>
      <w:r>
        <w:rPr>
          <w:rFonts w:hint="eastAsia" w:ascii="仿宋_GB2312" w:hAnsi="仿宋_GB2312" w:eastAsia="仿宋_GB2312" w:cs="仿宋_GB2312"/>
          <w:sz w:val="32"/>
          <w:szCs w:val="32"/>
          <w:lang w:val="en-US" w:eastAsia="zh-CN"/>
        </w:rPr>
        <w:t>率</w:t>
      </w:r>
      <w:r>
        <w:rPr>
          <w:rFonts w:hint="eastAsia" w:ascii="仿宋_GB2312" w:hAnsi="仿宋_GB2312" w:eastAsia="仿宋_GB2312" w:cs="仿宋_GB2312"/>
          <w:sz w:val="32"/>
          <w:szCs w:val="32"/>
          <w:lang w:eastAsia="zh-CN"/>
        </w:rPr>
        <w:t>在 0.</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lang w:eastAsia="zh-CN"/>
        </w:rPr>
        <w:t>之间;</w:t>
      </w:r>
    </w:p>
    <w:p w14:paraId="07184C09">
      <w:pPr>
        <w:keepNext w:val="0"/>
        <w:keepLines w:val="0"/>
        <w:pageBreakBefore w:val="0"/>
        <w:widowControl/>
        <w:kinsoku w:val="0"/>
        <w:wordWrap/>
        <w:overflowPunct/>
        <w:topLinePunct w:val="0"/>
        <w:autoSpaceDE w:val="0"/>
        <w:autoSpaceDN w:val="0"/>
        <w:bidi w:val="0"/>
        <w:adjustRightInd w:val="0"/>
        <w:snapToGrid w:val="0"/>
        <w:spacing w:line="560" w:lineRule="exact"/>
        <w:ind w:right="104"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）符合病种辅助目录条件的病例，在主目录病种分值的</w:t>
      </w:r>
      <w:r>
        <w:rPr>
          <w:rFonts w:hint="eastAsia" w:ascii="仿宋_GB2312" w:hAnsi="仿宋_GB2312" w:eastAsia="仿宋_GB2312" w:cs="仿宋_GB2312"/>
          <w:sz w:val="32"/>
          <w:szCs w:val="32"/>
          <w:lang w:val="en-US" w:eastAsia="zh-CN"/>
        </w:rPr>
        <w:t>基</w:t>
      </w:r>
      <w:r>
        <w:rPr>
          <w:rFonts w:hint="eastAsia" w:ascii="仿宋_GB2312" w:hAnsi="仿宋_GB2312" w:eastAsia="仿宋_GB2312" w:cs="仿宋_GB2312"/>
          <w:sz w:val="32"/>
          <w:szCs w:val="32"/>
        </w:rPr>
        <w:t>础上，应用病种辅助目录加权系数对病例的分值进行校正。</w:t>
      </w:r>
    </w:p>
    <w:p w14:paraId="6134F589">
      <w:pPr>
        <w:keepNext w:val="0"/>
        <w:keepLines w:val="0"/>
        <w:pageBreakBefore w:val="0"/>
        <w:widowControl/>
        <w:kinsoku w:val="0"/>
        <w:wordWrap/>
        <w:overflowPunct/>
        <w:topLinePunct w:val="0"/>
        <w:autoSpaceDE w:val="0"/>
        <w:autoSpaceDN w:val="0"/>
        <w:bidi w:val="0"/>
        <w:adjustRightInd w:val="0"/>
        <w:snapToGrid w:val="0"/>
        <w:spacing w:line="560" w:lineRule="exact"/>
        <w:ind w:right="104"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计算公式：符合病种辅助目录病例的分值</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主目录病种分值×(1+病种辅助目录加权系数)</w:t>
      </w:r>
    </w:p>
    <w:p w14:paraId="7578B0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104" w:rightChars="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（三）当病例符合多个辅助分型规则时，按加权系数最高的执行。</w:t>
      </w:r>
    </w:p>
    <w:p w14:paraId="45EF8F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right="104" w:rightChars="0" w:firstLine="0" w:firstLineChars="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（四）康复、床日病种病例不纳入辅助分型范围。</w:t>
      </w:r>
    </w:p>
    <w:p w14:paraId="5BC86838">
      <w:pPr>
        <w:pStyle w:val="2"/>
        <w:keepNext w:val="0"/>
        <w:keepLines w:val="0"/>
        <w:pageBreakBefore w:val="0"/>
        <w:wordWrap/>
        <w:overflowPunct/>
        <w:topLinePunct w:val="0"/>
        <w:bidi w:val="0"/>
        <w:spacing w:line="560" w:lineRule="exact"/>
        <w:rPr>
          <w:rFonts w:hint="default" w:ascii="仿宋_GB2312" w:hAnsi="仿宋_GB2312" w:eastAsia="仿宋_GB2312" w:cs="仿宋_GB2312"/>
          <w:kern w:val="2"/>
          <w:sz w:val="32"/>
          <w:szCs w:val="32"/>
          <w:lang w:val="en-US" w:eastAsia="zh-CN" w:bidi="ar-SA"/>
        </w:rPr>
      </w:pPr>
    </w:p>
    <w:p w14:paraId="16B049E0">
      <w:pPr>
        <w:keepNext w:val="0"/>
        <w:keepLines w:val="0"/>
        <w:pageBreakBefore w:val="0"/>
        <w:widowControl/>
        <w:kinsoku w:val="0"/>
        <w:wordWrap/>
        <w:overflowPunct/>
        <w:topLinePunct w:val="0"/>
        <w:autoSpaceDE w:val="0"/>
        <w:autoSpaceDN w:val="0"/>
        <w:bidi w:val="0"/>
        <w:adjustRightInd w:val="0"/>
        <w:snapToGrid w:val="0"/>
        <w:spacing w:line="560" w:lineRule="exact"/>
        <w:ind w:firstLine="806" w:firstLineChars="25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附件：1.非肿瘤病例疾病严重程度目录及加权系数</w:t>
      </w:r>
    </w:p>
    <w:p w14:paraId="09525300">
      <w:pPr>
        <w:keepNext w:val="0"/>
        <w:keepLines w:val="0"/>
        <w:pageBreakBefore w:val="0"/>
        <w:widowControl/>
        <w:kinsoku w:val="0"/>
        <w:wordWrap/>
        <w:overflowPunct/>
        <w:topLinePunct w:val="0"/>
        <w:autoSpaceDE w:val="0"/>
        <w:autoSpaceDN w:val="0"/>
        <w:bidi w:val="0"/>
        <w:adjustRightInd w:val="0"/>
        <w:snapToGrid w:val="0"/>
        <w:spacing w:line="560" w:lineRule="exact"/>
        <w:ind w:firstLine="1763" w:firstLineChars="55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2.肿瘤病例疾病严重程度目录及加权系数</w:t>
      </w:r>
    </w:p>
    <w:p w14:paraId="4593F580">
      <w:pPr>
        <w:keepNext w:val="0"/>
        <w:keepLines w:val="0"/>
        <w:pageBreakBefore w:val="0"/>
        <w:widowControl/>
        <w:kinsoku w:val="0"/>
        <w:wordWrap/>
        <w:overflowPunct/>
        <w:topLinePunct w:val="0"/>
        <w:autoSpaceDE w:val="0"/>
        <w:autoSpaceDN w:val="0"/>
        <w:bidi w:val="0"/>
        <w:adjustRightInd w:val="0"/>
        <w:snapToGrid w:val="0"/>
        <w:spacing w:line="560" w:lineRule="exact"/>
        <w:ind w:firstLine="1763" w:firstLineChars="551"/>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3.年龄辅助</w:t>
      </w:r>
      <w:r>
        <w:rPr>
          <w:rFonts w:hint="eastAsia" w:ascii="仿宋_GB2312" w:hAnsi="仿宋_GB2312" w:eastAsia="仿宋_GB2312" w:cs="仿宋_GB2312"/>
          <w:sz w:val="32"/>
          <w:szCs w:val="32"/>
          <w:lang w:val="en-US" w:eastAsia="zh-CN"/>
        </w:rPr>
        <w:t>分型</w:t>
      </w:r>
      <w:r>
        <w:rPr>
          <w:rFonts w:hint="eastAsia" w:ascii="仿宋_GB2312" w:hAnsi="仿宋_GB2312" w:eastAsia="仿宋_GB2312" w:cs="仿宋_GB2312"/>
          <w:sz w:val="32"/>
          <w:szCs w:val="32"/>
        </w:rPr>
        <w:t>加权系</w:t>
      </w:r>
      <w:r>
        <w:rPr>
          <w:rFonts w:hint="eastAsia" w:ascii="仿宋_GB2312" w:hAnsi="仿宋_GB2312" w:eastAsia="仿宋_GB2312" w:cs="仿宋_GB2312"/>
          <w:sz w:val="32"/>
          <w:szCs w:val="32"/>
          <w:lang w:val="en-US" w:eastAsia="zh-CN"/>
        </w:rPr>
        <w:t>数</w:t>
      </w:r>
    </w:p>
    <w:p w14:paraId="4DB6E27F">
      <w:pPr>
        <w:keepNext w:val="0"/>
        <w:keepLines w:val="0"/>
        <w:pageBreakBefore w:val="0"/>
        <w:widowControl/>
        <w:kinsoku w:val="0"/>
        <w:wordWrap/>
        <w:overflowPunct/>
        <w:topLinePunct w:val="0"/>
        <w:autoSpaceDE w:val="0"/>
        <w:autoSpaceDN w:val="0"/>
        <w:bidi w:val="0"/>
        <w:adjustRightInd w:val="0"/>
        <w:snapToGrid w:val="0"/>
        <w:spacing w:line="560" w:lineRule="exact"/>
        <w:ind w:firstLine="1763" w:firstLineChars="551"/>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辅助分型次要诊断表</w:t>
      </w:r>
    </w:p>
    <w:p w14:paraId="7EE58EB1">
      <w:pPr>
        <w:pStyle w:val="2"/>
        <w:rPr>
          <w:rFonts w:hint="eastAsia" w:ascii="仿宋_GB2312" w:hAnsi="仿宋_GB2312" w:eastAsia="仿宋_GB2312" w:cs="仿宋_GB2312"/>
          <w:sz w:val="32"/>
          <w:szCs w:val="32"/>
          <w:lang w:val="en-US" w:eastAsia="zh-CN"/>
        </w:rPr>
      </w:pPr>
    </w:p>
    <w:p w14:paraId="28C406E3">
      <w:pPr>
        <w:pStyle w:val="2"/>
        <w:rPr>
          <w:rFonts w:hint="eastAsia" w:ascii="仿宋_GB2312" w:hAnsi="仿宋_GB2312" w:eastAsia="仿宋_GB2312" w:cs="仿宋_GB2312"/>
          <w:sz w:val="32"/>
          <w:szCs w:val="32"/>
          <w:lang w:val="en-US" w:eastAsia="zh-CN"/>
        </w:rPr>
      </w:pPr>
    </w:p>
    <w:p w14:paraId="5142A009">
      <w:pPr>
        <w:pStyle w:val="2"/>
        <w:rPr>
          <w:rFonts w:hint="eastAsia" w:ascii="仿宋_GB2312" w:hAnsi="仿宋_GB2312" w:eastAsia="仿宋_GB2312" w:cs="仿宋_GB2312"/>
          <w:sz w:val="32"/>
          <w:szCs w:val="32"/>
          <w:lang w:val="en-US" w:eastAsia="zh-CN"/>
        </w:rPr>
      </w:pPr>
    </w:p>
    <w:p w14:paraId="449E10F0">
      <w:pPr>
        <w:pStyle w:val="2"/>
        <w:rPr>
          <w:rFonts w:hint="eastAsia" w:ascii="仿宋_GB2312" w:hAnsi="仿宋_GB2312" w:eastAsia="仿宋_GB2312" w:cs="仿宋_GB2312"/>
          <w:sz w:val="32"/>
          <w:szCs w:val="32"/>
          <w:lang w:val="en-US" w:eastAsia="zh-CN"/>
        </w:rPr>
      </w:pPr>
    </w:p>
    <w:p w14:paraId="54AEAF92">
      <w:pPr>
        <w:pStyle w:val="2"/>
        <w:rPr>
          <w:rFonts w:hint="eastAsia" w:ascii="仿宋_GB2312" w:hAnsi="仿宋_GB2312" w:eastAsia="仿宋_GB2312" w:cs="仿宋_GB2312"/>
          <w:sz w:val="32"/>
          <w:szCs w:val="32"/>
          <w:lang w:val="en-US" w:eastAsia="zh-CN"/>
        </w:rPr>
      </w:pPr>
    </w:p>
    <w:p w14:paraId="53D70B8D">
      <w:pPr>
        <w:pStyle w:val="2"/>
        <w:rPr>
          <w:rFonts w:hint="eastAsia" w:ascii="仿宋_GB2312" w:hAnsi="仿宋_GB2312" w:eastAsia="仿宋_GB2312" w:cs="仿宋_GB2312"/>
          <w:sz w:val="32"/>
          <w:szCs w:val="32"/>
          <w:lang w:val="en-US" w:eastAsia="zh-CN"/>
        </w:rPr>
      </w:pPr>
    </w:p>
    <w:p w14:paraId="1B468797">
      <w:pPr>
        <w:pStyle w:val="2"/>
        <w:rPr>
          <w:rFonts w:hint="eastAsia" w:ascii="仿宋_GB2312" w:hAnsi="仿宋_GB2312" w:eastAsia="仿宋_GB2312" w:cs="仿宋_GB2312"/>
          <w:sz w:val="32"/>
          <w:szCs w:val="32"/>
          <w:lang w:val="en-US" w:eastAsia="zh-CN"/>
        </w:rPr>
      </w:pPr>
    </w:p>
    <w:p w14:paraId="27F7C228">
      <w:pPr>
        <w:pStyle w:val="2"/>
        <w:rPr>
          <w:rFonts w:hint="eastAsia" w:ascii="仿宋_GB2312" w:hAnsi="仿宋_GB2312" w:eastAsia="仿宋_GB2312" w:cs="仿宋_GB2312"/>
          <w:sz w:val="32"/>
          <w:szCs w:val="32"/>
          <w:lang w:val="en-US" w:eastAsia="zh-CN"/>
        </w:rPr>
      </w:pPr>
    </w:p>
    <w:p w14:paraId="74E67246">
      <w:pPr>
        <w:pStyle w:val="2"/>
        <w:rPr>
          <w:rFonts w:hint="eastAsia" w:ascii="仿宋_GB2312" w:hAnsi="仿宋_GB2312" w:eastAsia="仿宋_GB2312" w:cs="仿宋_GB2312"/>
          <w:sz w:val="32"/>
          <w:szCs w:val="32"/>
          <w:lang w:val="en-US" w:eastAsia="zh-CN"/>
        </w:rPr>
      </w:pPr>
    </w:p>
    <w:p w14:paraId="1FC662EF">
      <w:pPr>
        <w:pStyle w:val="2"/>
        <w:rPr>
          <w:rFonts w:hint="eastAsia" w:ascii="仿宋_GB2312" w:hAnsi="仿宋_GB2312" w:eastAsia="仿宋_GB2312" w:cs="仿宋_GB2312"/>
          <w:sz w:val="32"/>
          <w:szCs w:val="32"/>
          <w:lang w:val="en-US" w:eastAsia="zh-CN"/>
        </w:rPr>
      </w:pPr>
    </w:p>
    <w:p w14:paraId="6AD38181">
      <w:pPr>
        <w:pStyle w:val="2"/>
        <w:rPr>
          <w:rFonts w:hint="eastAsia" w:ascii="仿宋_GB2312" w:hAnsi="仿宋_GB2312" w:eastAsia="仿宋_GB2312" w:cs="仿宋_GB2312"/>
          <w:sz w:val="32"/>
          <w:szCs w:val="32"/>
          <w:lang w:val="en-US" w:eastAsia="zh-CN"/>
        </w:rPr>
      </w:pPr>
    </w:p>
    <w:p w14:paraId="11416BD8">
      <w:pPr>
        <w:pStyle w:val="2"/>
        <w:rPr>
          <w:rFonts w:hint="eastAsia" w:ascii="仿宋_GB2312" w:hAnsi="仿宋_GB2312" w:eastAsia="仿宋_GB2312" w:cs="仿宋_GB2312"/>
          <w:sz w:val="32"/>
          <w:szCs w:val="32"/>
          <w:lang w:val="en-US" w:eastAsia="zh-CN"/>
        </w:rPr>
      </w:pPr>
    </w:p>
    <w:p w14:paraId="1D8F3C79">
      <w:pPr>
        <w:pStyle w:val="2"/>
        <w:rPr>
          <w:rFonts w:hint="eastAsia" w:ascii="仿宋_GB2312" w:hAnsi="仿宋_GB2312" w:eastAsia="仿宋_GB2312" w:cs="仿宋_GB2312"/>
          <w:sz w:val="32"/>
          <w:szCs w:val="32"/>
          <w:lang w:val="en-US" w:eastAsia="zh-CN"/>
        </w:rPr>
      </w:pPr>
    </w:p>
    <w:p w14:paraId="120F29CD">
      <w:pPr>
        <w:pStyle w:val="2"/>
        <w:rPr>
          <w:rFonts w:hint="eastAsia" w:ascii="仿宋_GB2312" w:hAnsi="仿宋_GB2312" w:eastAsia="仿宋_GB2312" w:cs="仿宋_GB2312"/>
          <w:sz w:val="32"/>
          <w:szCs w:val="32"/>
          <w:lang w:val="en-US" w:eastAsia="zh-CN"/>
        </w:rPr>
      </w:pPr>
    </w:p>
    <w:p w14:paraId="20C527EE">
      <w:pPr>
        <w:pStyle w:val="2"/>
        <w:rPr>
          <w:rFonts w:hint="eastAsia" w:ascii="仿宋_GB2312" w:hAnsi="仿宋_GB2312" w:eastAsia="仿宋_GB2312" w:cs="仿宋_GB2312"/>
          <w:sz w:val="32"/>
          <w:szCs w:val="32"/>
          <w:lang w:val="en-US" w:eastAsia="zh-CN"/>
        </w:rPr>
      </w:pPr>
    </w:p>
    <w:p w14:paraId="487D4882">
      <w:pPr>
        <w:pStyle w:val="2"/>
        <w:rPr>
          <w:rFonts w:hint="eastAsia" w:ascii="仿宋_GB2312" w:hAnsi="仿宋_GB2312" w:eastAsia="仿宋_GB2312" w:cs="仿宋_GB2312"/>
          <w:sz w:val="32"/>
          <w:szCs w:val="32"/>
          <w:lang w:val="en-US" w:eastAsia="zh-CN"/>
        </w:rPr>
      </w:pPr>
    </w:p>
    <w:p w14:paraId="29BAFD77">
      <w:pPr>
        <w:pStyle w:val="2"/>
        <w:rPr>
          <w:rFonts w:hint="eastAsia" w:ascii="仿宋_GB2312" w:hAnsi="仿宋_GB2312" w:eastAsia="仿宋_GB2312" w:cs="仿宋_GB2312"/>
          <w:sz w:val="32"/>
          <w:szCs w:val="32"/>
          <w:lang w:val="en-US" w:eastAsia="zh-CN"/>
        </w:rPr>
      </w:pPr>
    </w:p>
    <w:p w14:paraId="62447CF4">
      <w:pPr>
        <w:widowControl/>
        <w:kinsoku w:val="0"/>
        <w:autoSpaceDE w:val="0"/>
        <w:autoSpaceDN w:val="0"/>
        <w:adjustRightInd w:val="0"/>
        <w:snapToGrid w:val="0"/>
        <w:spacing w:line="560" w:lineRule="exact"/>
        <w:ind w:right="1125"/>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附件1</w:t>
      </w:r>
    </w:p>
    <w:p w14:paraId="735811F0">
      <w:pPr>
        <w:spacing w:before="299" w:line="221" w:lineRule="auto"/>
        <w:jc w:val="center"/>
        <w:rPr>
          <w:rFonts w:ascii="宋体" w:hAnsi="宋体" w:cs="宋体"/>
          <w:spacing w:val="3"/>
          <w:sz w:val="28"/>
          <w:szCs w:val="28"/>
        </w:rPr>
      </w:pPr>
      <w:r>
        <w:rPr>
          <w:rFonts w:ascii="宋体" w:hAnsi="宋体" w:cs="宋体"/>
          <w:b/>
          <w:bCs/>
          <w:spacing w:val="3"/>
          <w:sz w:val="28"/>
          <w:szCs w:val="28"/>
        </w:rPr>
        <w:t>非肿瘤病例疾病严重程度目录及加权系数</w:t>
      </w:r>
    </w:p>
    <w:p w14:paraId="6BB6EDCA"/>
    <w:p w14:paraId="7650D97F">
      <w:pPr>
        <w:spacing w:line="58" w:lineRule="exact"/>
      </w:pPr>
    </w:p>
    <w:tbl>
      <w:tblPr>
        <w:tblStyle w:val="9"/>
        <w:tblW w:w="87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72"/>
        <w:gridCol w:w="1664"/>
        <w:gridCol w:w="1665"/>
        <w:gridCol w:w="1585"/>
      </w:tblGrid>
      <w:tr w14:paraId="3D8E9129">
        <w:tblPrEx>
          <w:tblCellMar>
            <w:top w:w="0" w:type="dxa"/>
            <w:left w:w="0" w:type="dxa"/>
            <w:bottom w:w="0" w:type="dxa"/>
            <w:right w:w="0" w:type="dxa"/>
          </w:tblCellMar>
        </w:tblPrEx>
        <w:trPr>
          <w:trHeight w:val="869" w:hRule="atLeast"/>
        </w:trPr>
        <w:tc>
          <w:tcPr>
            <w:tcW w:w="3872" w:type="dxa"/>
            <w:tcBorders>
              <w:top w:val="single" w:color="000000" w:sz="2" w:space="0"/>
              <w:bottom w:val="single" w:color="000000" w:sz="2" w:space="0"/>
            </w:tcBorders>
            <w:noWrap w:val="0"/>
            <w:vAlign w:val="top"/>
          </w:tcPr>
          <w:p w14:paraId="0D4555CF">
            <w:pPr>
              <w:spacing w:before="298" w:line="220" w:lineRule="auto"/>
              <w:ind w:left="1858"/>
              <w:rPr>
                <w:rFonts w:ascii="宋体" w:hAnsi="宋体" w:cs="宋体"/>
                <w:sz w:val="28"/>
                <w:szCs w:val="28"/>
              </w:rPr>
            </w:pPr>
            <w:r>
              <w:rPr>
                <w:rFonts w:ascii="宋体" w:hAnsi="宋体" w:cs="宋体"/>
                <w:spacing w:val="7"/>
                <w:sz w:val="28"/>
                <w:szCs w:val="28"/>
              </w:rPr>
              <w:t>级别</w:t>
            </w:r>
          </w:p>
        </w:tc>
        <w:tc>
          <w:tcPr>
            <w:tcW w:w="1664" w:type="dxa"/>
            <w:tcBorders>
              <w:top w:val="single" w:color="000000" w:sz="2" w:space="0"/>
              <w:bottom w:val="single" w:color="000000" w:sz="2" w:space="0"/>
            </w:tcBorders>
            <w:noWrap w:val="0"/>
            <w:vAlign w:val="top"/>
          </w:tcPr>
          <w:p w14:paraId="5EE43797">
            <w:pPr>
              <w:spacing w:before="298" w:line="220" w:lineRule="auto"/>
              <w:ind w:left="299"/>
              <w:rPr>
                <w:rFonts w:ascii="宋体" w:hAnsi="宋体" w:cs="宋体"/>
                <w:sz w:val="28"/>
                <w:szCs w:val="28"/>
              </w:rPr>
            </w:pPr>
            <w:r>
              <w:rPr>
                <w:rFonts w:ascii="宋体" w:hAnsi="宋体" w:cs="宋体"/>
                <w:spacing w:val="2"/>
                <w:sz w:val="28"/>
                <w:szCs w:val="28"/>
              </w:rPr>
              <w:t>一级医院</w:t>
            </w:r>
          </w:p>
        </w:tc>
        <w:tc>
          <w:tcPr>
            <w:tcW w:w="1665" w:type="dxa"/>
            <w:tcBorders>
              <w:top w:val="single" w:color="000000" w:sz="2" w:space="0"/>
              <w:bottom w:val="single" w:color="000000" w:sz="2" w:space="0"/>
            </w:tcBorders>
            <w:noWrap w:val="0"/>
            <w:vAlign w:val="top"/>
          </w:tcPr>
          <w:p w14:paraId="50E76CE8">
            <w:pPr>
              <w:spacing w:before="298" w:line="220" w:lineRule="auto"/>
              <w:ind w:left="381"/>
              <w:rPr>
                <w:rFonts w:ascii="宋体" w:hAnsi="宋体" w:cs="宋体"/>
                <w:sz w:val="28"/>
                <w:szCs w:val="28"/>
              </w:rPr>
            </w:pPr>
            <w:r>
              <w:rPr>
                <w:rFonts w:ascii="宋体" w:hAnsi="宋体" w:cs="宋体"/>
                <w:spacing w:val="2"/>
                <w:sz w:val="28"/>
                <w:szCs w:val="28"/>
              </w:rPr>
              <w:t>二级医院</w:t>
            </w:r>
          </w:p>
        </w:tc>
        <w:tc>
          <w:tcPr>
            <w:tcW w:w="1585" w:type="dxa"/>
            <w:tcBorders>
              <w:top w:val="single" w:color="000000" w:sz="2" w:space="0"/>
              <w:bottom w:val="single" w:color="000000" w:sz="2" w:space="0"/>
            </w:tcBorders>
            <w:noWrap w:val="0"/>
            <w:vAlign w:val="top"/>
          </w:tcPr>
          <w:p w14:paraId="657095BB">
            <w:pPr>
              <w:spacing w:before="298" w:line="220" w:lineRule="auto"/>
              <w:ind w:left="282"/>
              <w:rPr>
                <w:rFonts w:ascii="宋体" w:hAnsi="宋体" w:cs="宋体"/>
                <w:sz w:val="28"/>
                <w:szCs w:val="28"/>
              </w:rPr>
            </w:pPr>
            <w:r>
              <w:rPr>
                <w:rFonts w:ascii="宋体" w:hAnsi="宋体" w:cs="宋体"/>
                <w:spacing w:val="-3"/>
                <w:sz w:val="28"/>
                <w:szCs w:val="28"/>
              </w:rPr>
              <w:t>三</w:t>
            </w:r>
            <w:r>
              <w:rPr>
                <w:rFonts w:ascii="宋体" w:hAnsi="宋体" w:cs="宋体"/>
                <w:spacing w:val="-2"/>
                <w:sz w:val="28"/>
                <w:szCs w:val="28"/>
              </w:rPr>
              <w:t>级医院</w:t>
            </w:r>
          </w:p>
        </w:tc>
      </w:tr>
      <w:tr w14:paraId="689A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3872" w:type="dxa"/>
            <w:tcBorders>
              <w:top w:val="single" w:color="000000" w:sz="2" w:space="0"/>
              <w:bottom w:val="single" w:color="000000" w:sz="2" w:space="0"/>
            </w:tcBorders>
            <w:noWrap w:val="0"/>
            <w:vAlign w:val="top"/>
          </w:tcPr>
          <w:p w14:paraId="0BF9FECA">
            <w:pPr>
              <w:spacing w:before="299" w:line="221" w:lineRule="auto"/>
              <w:ind w:left="1155"/>
              <w:rPr>
                <w:rFonts w:ascii="宋体" w:hAnsi="宋体" w:cs="宋体"/>
                <w:sz w:val="28"/>
                <w:szCs w:val="28"/>
              </w:rPr>
            </w:pPr>
            <w:r>
              <w:rPr>
                <w:rFonts w:ascii="宋体" w:hAnsi="宋体" w:cs="宋体"/>
                <w:spacing w:val="3"/>
                <w:sz w:val="28"/>
                <w:szCs w:val="28"/>
              </w:rPr>
              <w:t>死亡病例</w:t>
            </w:r>
            <w:r>
              <w:rPr>
                <w:rFonts w:ascii="宋体" w:hAnsi="宋体" w:cs="宋体"/>
                <w:sz w:val="28"/>
                <w:szCs w:val="28"/>
              </w:rPr>
              <w:t>IV</w:t>
            </w:r>
            <w:r>
              <w:rPr>
                <w:rFonts w:ascii="宋体" w:hAnsi="宋体" w:cs="宋体"/>
                <w:spacing w:val="3"/>
                <w:sz w:val="28"/>
                <w:szCs w:val="28"/>
              </w:rPr>
              <w:t>-</w:t>
            </w:r>
            <w:r>
              <w:rPr>
                <w:rFonts w:ascii="宋体" w:hAnsi="宋体" w:cs="宋体"/>
                <w:sz w:val="28"/>
                <w:szCs w:val="28"/>
              </w:rPr>
              <w:t>A</w:t>
            </w:r>
            <w:r>
              <w:rPr>
                <w:rFonts w:ascii="宋体" w:hAnsi="宋体" w:cs="宋体"/>
                <w:spacing w:val="2"/>
                <w:sz w:val="28"/>
                <w:szCs w:val="28"/>
              </w:rPr>
              <w:t>级</w:t>
            </w:r>
          </w:p>
        </w:tc>
        <w:tc>
          <w:tcPr>
            <w:tcW w:w="1664" w:type="dxa"/>
            <w:tcBorders>
              <w:top w:val="single" w:color="000000" w:sz="2" w:space="0"/>
              <w:bottom w:val="single" w:color="000000" w:sz="2" w:space="0"/>
            </w:tcBorders>
            <w:noWrap w:val="0"/>
            <w:vAlign w:val="top"/>
          </w:tcPr>
          <w:p w14:paraId="526B8DEE">
            <w:pPr>
              <w:spacing w:line="276" w:lineRule="auto"/>
              <w:rPr>
                <w:rFonts w:ascii="Arial"/>
              </w:rPr>
            </w:pPr>
          </w:p>
          <w:p w14:paraId="2A4BB0CA">
            <w:pPr>
              <w:spacing w:before="91" w:line="184" w:lineRule="auto"/>
              <w:ind w:left="574"/>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.02</w:t>
            </w:r>
          </w:p>
        </w:tc>
        <w:tc>
          <w:tcPr>
            <w:tcW w:w="1665" w:type="dxa"/>
            <w:tcBorders>
              <w:top w:val="single" w:color="000000" w:sz="2" w:space="0"/>
              <w:bottom w:val="single" w:color="000000" w:sz="2" w:space="0"/>
            </w:tcBorders>
            <w:noWrap w:val="0"/>
            <w:vAlign w:val="top"/>
          </w:tcPr>
          <w:p w14:paraId="1D0D5937">
            <w:pPr>
              <w:spacing w:line="276" w:lineRule="auto"/>
              <w:rPr>
                <w:rFonts w:ascii="Arial"/>
              </w:rPr>
            </w:pPr>
          </w:p>
          <w:p w14:paraId="27863026">
            <w:pPr>
              <w:spacing w:before="91" w:line="184" w:lineRule="auto"/>
              <w:ind w:left="65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.04</w:t>
            </w:r>
          </w:p>
        </w:tc>
        <w:tc>
          <w:tcPr>
            <w:tcW w:w="1585" w:type="dxa"/>
            <w:tcBorders>
              <w:top w:val="single" w:color="000000" w:sz="2" w:space="0"/>
              <w:bottom w:val="single" w:color="000000" w:sz="2" w:space="0"/>
            </w:tcBorders>
            <w:noWrap w:val="0"/>
            <w:vAlign w:val="top"/>
          </w:tcPr>
          <w:p w14:paraId="3E3A567E">
            <w:pPr>
              <w:spacing w:line="276" w:lineRule="auto"/>
              <w:rPr>
                <w:rFonts w:ascii="Arial"/>
              </w:rPr>
            </w:pPr>
          </w:p>
          <w:p w14:paraId="68E24118">
            <w:pPr>
              <w:spacing w:before="91" w:line="184" w:lineRule="auto"/>
              <w:ind w:left="558"/>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.05</w:t>
            </w:r>
          </w:p>
        </w:tc>
      </w:tr>
      <w:tr w14:paraId="20C6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3872" w:type="dxa"/>
            <w:tcBorders>
              <w:top w:val="single" w:color="000000" w:sz="2" w:space="0"/>
              <w:bottom w:val="single" w:color="000000" w:sz="2" w:space="0"/>
            </w:tcBorders>
            <w:noWrap w:val="0"/>
            <w:vAlign w:val="top"/>
          </w:tcPr>
          <w:p w14:paraId="3F84BDF3">
            <w:pPr>
              <w:spacing w:before="299" w:line="221" w:lineRule="auto"/>
              <w:ind w:left="1155"/>
              <w:rPr>
                <w:rFonts w:ascii="宋体" w:hAnsi="宋体" w:cs="宋体"/>
                <w:sz w:val="28"/>
                <w:szCs w:val="28"/>
              </w:rPr>
            </w:pPr>
            <w:r>
              <w:rPr>
                <w:rFonts w:ascii="宋体" w:hAnsi="宋体" w:cs="宋体"/>
                <w:spacing w:val="3"/>
                <w:sz w:val="28"/>
                <w:szCs w:val="28"/>
              </w:rPr>
              <w:t>死亡病例</w:t>
            </w:r>
            <w:r>
              <w:rPr>
                <w:rFonts w:ascii="宋体" w:hAnsi="宋体" w:cs="宋体"/>
                <w:sz w:val="28"/>
                <w:szCs w:val="28"/>
              </w:rPr>
              <w:t>IV</w:t>
            </w:r>
            <w:r>
              <w:rPr>
                <w:rFonts w:ascii="宋体" w:hAnsi="宋体" w:cs="宋体"/>
                <w:spacing w:val="3"/>
                <w:sz w:val="28"/>
                <w:szCs w:val="28"/>
              </w:rPr>
              <w:t>-</w:t>
            </w:r>
            <w:r>
              <w:rPr>
                <w:rFonts w:ascii="宋体" w:hAnsi="宋体" w:cs="宋体"/>
                <w:sz w:val="28"/>
                <w:szCs w:val="28"/>
              </w:rPr>
              <w:t>B</w:t>
            </w:r>
            <w:r>
              <w:rPr>
                <w:rFonts w:ascii="宋体" w:hAnsi="宋体" w:cs="宋体"/>
                <w:spacing w:val="2"/>
                <w:sz w:val="28"/>
                <w:szCs w:val="28"/>
              </w:rPr>
              <w:t>级</w:t>
            </w:r>
          </w:p>
        </w:tc>
        <w:tc>
          <w:tcPr>
            <w:tcW w:w="1664" w:type="dxa"/>
            <w:tcBorders>
              <w:top w:val="single" w:color="000000" w:sz="2" w:space="0"/>
              <w:bottom w:val="single" w:color="000000" w:sz="2" w:space="0"/>
            </w:tcBorders>
            <w:noWrap w:val="0"/>
            <w:vAlign w:val="top"/>
          </w:tcPr>
          <w:p w14:paraId="60FA2C33">
            <w:pPr>
              <w:spacing w:line="275" w:lineRule="auto"/>
              <w:rPr>
                <w:rFonts w:ascii="Arial"/>
              </w:rPr>
            </w:pPr>
          </w:p>
          <w:p w14:paraId="69CA8950">
            <w:pPr>
              <w:spacing w:before="91" w:line="185" w:lineRule="auto"/>
              <w:ind w:left="645"/>
              <w:rPr>
                <w:rFonts w:ascii="宋体" w:hAnsi="宋体" w:cs="宋体"/>
                <w:sz w:val="28"/>
                <w:szCs w:val="28"/>
              </w:rPr>
            </w:pPr>
            <w:r>
              <w:rPr>
                <w:rFonts w:ascii="宋体" w:hAnsi="宋体" w:cs="宋体"/>
                <w:spacing w:val="-3"/>
                <w:sz w:val="28"/>
                <w:szCs w:val="28"/>
              </w:rPr>
              <w:t>0.1</w:t>
            </w:r>
          </w:p>
        </w:tc>
        <w:tc>
          <w:tcPr>
            <w:tcW w:w="1665" w:type="dxa"/>
            <w:tcBorders>
              <w:top w:val="single" w:color="000000" w:sz="2" w:space="0"/>
              <w:bottom w:val="single" w:color="000000" w:sz="2" w:space="0"/>
            </w:tcBorders>
            <w:noWrap w:val="0"/>
            <w:vAlign w:val="top"/>
          </w:tcPr>
          <w:p w14:paraId="6F1FCAB4">
            <w:pPr>
              <w:spacing w:line="275" w:lineRule="auto"/>
              <w:rPr>
                <w:rFonts w:ascii="Arial"/>
              </w:rPr>
            </w:pPr>
          </w:p>
          <w:p w14:paraId="4A06CB5C">
            <w:pPr>
              <w:spacing w:before="91" w:line="185" w:lineRule="auto"/>
              <w:ind w:left="65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.16</w:t>
            </w:r>
          </w:p>
        </w:tc>
        <w:tc>
          <w:tcPr>
            <w:tcW w:w="1585" w:type="dxa"/>
            <w:tcBorders>
              <w:top w:val="single" w:color="000000" w:sz="2" w:space="0"/>
              <w:bottom w:val="single" w:color="000000" w:sz="2" w:space="0"/>
            </w:tcBorders>
            <w:noWrap w:val="0"/>
            <w:vAlign w:val="top"/>
          </w:tcPr>
          <w:p w14:paraId="308123BC">
            <w:pPr>
              <w:spacing w:line="276" w:lineRule="auto"/>
              <w:rPr>
                <w:rFonts w:ascii="Arial"/>
              </w:rPr>
            </w:pPr>
          </w:p>
          <w:p w14:paraId="4FF00639">
            <w:pPr>
              <w:spacing w:before="91" w:line="184" w:lineRule="auto"/>
              <w:ind w:left="628"/>
              <w:rPr>
                <w:rFonts w:ascii="宋体" w:hAnsi="宋体" w:cs="宋体"/>
                <w:sz w:val="28"/>
                <w:szCs w:val="28"/>
              </w:rPr>
            </w:pPr>
            <w:r>
              <w:rPr>
                <w:rFonts w:ascii="宋体" w:hAnsi="宋体" w:cs="宋体"/>
                <w:spacing w:val="-3"/>
                <w:sz w:val="28"/>
                <w:szCs w:val="28"/>
              </w:rPr>
              <w:t>0.2</w:t>
            </w:r>
          </w:p>
        </w:tc>
      </w:tr>
      <w:tr w14:paraId="5072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3872" w:type="dxa"/>
            <w:tcBorders>
              <w:top w:val="single" w:color="000000" w:sz="2" w:space="0"/>
              <w:bottom w:val="single" w:color="000000" w:sz="2" w:space="0"/>
            </w:tcBorders>
            <w:noWrap w:val="0"/>
            <w:vAlign w:val="top"/>
          </w:tcPr>
          <w:p w14:paraId="72635A34">
            <w:pPr>
              <w:spacing w:before="289" w:line="220" w:lineRule="auto"/>
              <w:ind w:left="1294"/>
              <w:rPr>
                <w:rFonts w:ascii="宋体" w:hAnsi="宋体" w:cs="宋体"/>
                <w:sz w:val="28"/>
                <w:szCs w:val="28"/>
              </w:rPr>
            </w:pPr>
            <w:r>
              <w:rPr>
                <w:rFonts w:ascii="宋体" w:hAnsi="宋体" w:cs="宋体"/>
                <w:spacing w:val="3"/>
                <w:sz w:val="28"/>
                <w:szCs w:val="28"/>
              </w:rPr>
              <w:t>重度病例Ⅲ</w:t>
            </w:r>
            <w:r>
              <w:rPr>
                <w:rFonts w:ascii="宋体" w:hAnsi="宋体" w:cs="宋体"/>
                <w:spacing w:val="2"/>
                <w:sz w:val="28"/>
                <w:szCs w:val="28"/>
              </w:rPr>
              <w:t>级</w:t>
            </w:r>
          </w:p>
        </w:tc>
        <w:tc>
          <w:tcPr>
            <w:tcW w:w="1664" w:type="dxa"/>
            <w:tcBorders>
              <w:top w:val="single" w:color="000000" w:sz="2" w:space="0"/>
              <w:bottom w:val="single" w:color="000000" w:sz="2" w:space="0"/>
            </w:tcBorders>
            <w:noWrap w:val="0"/>
            <w:vAlign w:val="top"/>
          </w:tcPr>
          <w:p w14:paraId="0C344B61">
            <w:pPr>
              <w:spacing w:line="267" w:lineRule="auto"/>
              <w:rPr>
                <w:rFonts w:ascii="Arial"/>
              </w:rPr>
            </w:pPr>
          </w:p>
          <w:p w14:paraId="1A3214D2">
            <w:pPr>
              <w:spacing w:before="91" w:line="184" w:lineRule="auto"/>
              <w:ind w:left="574"/>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.05</w:t>
            </w:r>
          </w:p>
        </w:tc>
        <w:tc>
          <w:tcPr>
            <w:tcW w:w="1665" w:type="dxa"/>
            <w:tcBorders>
              <w:top w:val="single" w:color="000000" w:sz="2" w:space="0"/>
              <w:bottom w:val="single" w:color="000000" w:sz="2" w:space="0"/>
            </w:tcBorders>
            <w:noWrap w:val="0"/>
            <w:vAlign w:val="top"/>
          </w:tcPr>
          <w:p w14:paraId="441B4047">
            <w:pPr>
              <w:spacing w:line="267" w:lineRule="auto"/>
              <w:rPr>
                <w:rFonts w:ascii="Arial"/>
              </w:rPr>
            </w:pPr>
          </w:p>
          <w:p w14:paraId="4779C6B3">
            <w:pPr>
              <w:spacing w:before="91" w:line="184" w:lineRule="auto"/>
              <w:ind w:left="65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.08</w:t>
            </w:r>
          </w:p>
        </w:tc>
        <w:tc>
          <w:tcPr>
            <w:tcW w:w="1585" w:type="dxa"/>
            <w:tcBorders>
              <w:top w:val="single" w:color="000000" w:sz="2" w:space="0"/>
              <w:bottom w:val="single" w:color="000000" w:sz="2" w:space="0"/>
            </w:tcBorders>
            <w:noWrap w:val="0"/>
            <w:vAlign w:val="top"/>
          </w:tcPr>
          <w:p w14:paraId="65BD7B70">
            <w:pPr>
              <w:spacing w:line="266" w:lineRule="auto"/>
              <w:rPr>
                <w:rFonts w:ascii="Arial"/>
              </w:rPr>
            </w:pPr>
          </w:p>
          <w:p w14:paraId="15FC0B3B">
            <w:pPr>
              <w:spacing w:before="91" w:line="185" w:lineRule="auto"/>
              <w:ind w:left="628"/>
              <w:rPr>
                <w:rFonts w:ascii="宋体" w:hAnsi="宋体" w:cs="宋体"/>
                <w:sz w:val="28"/>
                <w:szCs w:val="28"/>
              </w:rPr>
            </w:pPr>
            <w:r>
              <w:rPr>
                <w:rFonts w:ascii="宋体" w:hAnsi="宋体" w:cs="宋体"/>
                <w:spacing w:val="-3"/>
                <w:sz w:val="28"/>
                <w:szCs w:val="28"/>
              </w:rPr>
              <w:t>0.1</w:t>
            </w:r>
          </w:p>
        </w:tc>
      </w:tr>
      <w:tr w14:paraId="1FA94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3872" w:type="dxa"/>
            <w:tcBorders>
              <w:top w:val="single" w:color="000000" w:sz="2" w:space="0"/>
              <w:bottom w:val="single" w:color="000000" w:sz="2" w:space="0"/>
            </w:tcBorders>
            <w:noWrap w:val="0"/>
            <w:vAlign w:val="top"/>
          </w:tcPr>
          <w:p w14:paraId="78143DC0">
            <w:pPr>
              <w:spacing w:before="300" w:line="220" w:lineRule="auto"/>
              <w:ind w:left="1294"/>
              <w:rPr>
                <w:rFonts w:ascii="宋体" w:hAnsi="宋体" w:cs="宋体"/>
                <w:sz w:val="28"/>
                <w:szCs w:val="28"/>
              </w:rPr>
            </w:pPr>
            <w:r>
              <w:rPr>
                <w:rFonts w:ascii="宋体" w:hAnsi="宋体" w:cs="宋体"/>
                <w:spacing w:val="3"/>
                <w:sz w:val="28"/>
                <w:szCs w:val="28"/>
              </w:rPr>
              <w:t>中度病例Ⅱ</w:t>
            </w:r>
            <w:r>
              <w:rPr>
                <w:rFonts w:ascii="宋体" w:hAnsi="宋体" w:cs="宋体"/>
                <w:spacing w:val="2"/>
                <w:sz w:val="28"/>
                <w:szCs w:val="28"/>
              </w:rPr>
              <w:t>级</w:t>
            </w:r>
          </w:p>
        </w:tc>
        <w:tc>
          <w:tcPr>
            <w:tcW w:w="1664" w:type="dxa"/>
            <w:tcBorders>
              <w:top w:val="single" w:color="000000" w:sz="2" w:space="0"/>
              <w:bottom w:val="single" w:color="000000" w:sz="2" w:space="0"/>
            </w:tcBorders>
            <w:noWrap w:val="0"/>
            <w:vAlign w:val="top"/>
          </w:tcPr>
          <w:p w14:paraId="58356CAC">
            <w:pPr>
              <w:spacing w:line="278" w:lineRule="auto"/>
              <w:rPr>
                <w:rFonts w:ascii="Arial"/>
              </w:rPr>
            </w:pPr>
          </w:p>
          <w:p w14:paraId="0A25E9FC">
            <w:pPr>
              <w:spacing w:before="91" w:line="184" w:lineRule="auto"/>
              <w:ind w:left="574"/>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.02</w:t>
            </w:r>
          </w:p>
        </w:tc>
        <w:tc>
          <w:tcPr>
            <w:tcW w:w="1665" w:type="dxa"/>
            <w:tcBorders>
              <w:top w:val="single" w:color="000000" w:sz="2" w:space="0"/>
              <w:bottom w:val="single" w:color="000000" w:sz="2" w:space="0"/>
            </w:tcBorders>
            <w:noWrap w:val="0"/>
            <w:vAlign w:val="top"/>
          </w:tcPr>
          <w:p w14:paraId="38B617B4">
            <w:pPr>
              <w:spacing w:line="278" w:lineRule="auto"/>
              <w:rPr>
                <w:rFonts w:ascii="Arial"/>
              </w:rPr>
            </w:pPr>
          </w:p>
          <w:p w14:paraId="5A6141C0">
            <w:pPr>
              <w:spacing w:before="91" w:line="184" w:lineRule="auto"/>
              <w:ind w:left="65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.04</w:t>
            </w:r>
          </w:p>
        </w:tc>
        <w:tc>
          <w:tcPr>
            <w:tcW w:w="1585" w:type="dxa"/>
            <w:tcBorders>
              <w:top w:val="single" w:color="000000" w:sz="2" w:space="0"/>
              <w:bottom w:val="single" w:color="000000" w:sz="2" w:space="0"/>
            </w:tcBorders>
            <w:noWrap w:val="0"/>
            <w:vAlign w:val="top"/>
          </w:tcPr>
          <w:p w14:paraId="3BA3C74A">
            <w:pPr>
              <w:spacing w:line="278" w:lineRule="auto"/>
              <w:rPr>
                <w:rFonts w:ascii="Arial"/>
              </w:rPr>
            </w:pPr>
          </w:p>
          <w:p w14:paraId="4373A58B">
            <w:pPr>
              <w:spacing w:before="91" w:line="184" w:lineRule="auto"/>
              <w:ind w:left="558"/>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.05</w:t>
            </w:r>
          </w:p>
        </w:tc>
      </w:tr>
      <w:tr w14:paraId="33576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3872" w:type="dxa"/>
            <w:tcBorders>
              <w:top w:val="single" w:color="000000" w:sz="2" w:space="0"/>
              <w:bottom w:val="single" w:color="000000" w:sz="2" w:space="0"/>
            </w:tcBorders>
            <w:noWrap w:val="0"/>
            <w:vAlign w:val="top"/>
          </w:tcPr>
          <w:p w14:paraId="0D5A898F">
            <w:pPr>
              <w:spacing w:before="300" w:line="219" w:lineRule="auto"/>
              <w:ind w:left="664"/>
              <w:rPr>
                <w:rFonts w:ascii="宋体" w:hAnsi="宋体" w:cs="宋体"/>
                <w:sz w:val="28"/>
                <w:szCs w:val="28"/>
              </w:rPr>
            </w:pPr>
            <w:r>
              <w:rPr>
                <w:rFonts w:ascii="宋体" w:hAnsi="宋体" w:cs="宋体"/>
                <w:spacing w:val="2"/>
                <w:sz w:val="28"/>
                <w:szCs w:val="28"/>
              </w:rPr>
              <w:t>次要诊断辅助目</w:t>
            </w:r>
            <w:r>
              <w:rPr>
                <w:rFonts w:ascii="宋体" w:hAnsi="宋体" w:cs="宋体"/>
                <w:spacing w:val="1"/>
                <w:sz w:val="28"/>
                <w:szCs w:val="28"/>
              </w:rPr>
              <w:t>录</w:t>
            </w:r>
            <w:r>
              <w:rPr>
                <w:rFonts w:ascii="宋体" w:hAnsi="宋体" w:cs="宋体"/>
                <w:sz w:val="28"/>
                <w:szCs w:val="28"/>
              </w:rPr>
              <w:t>I</w:t>
            </w:r>
            <w:r>
              <w:rPr>
                <w:rFonts w:ascii="宋体" w:hAnsi="宋体" w:cs="宋体"/>
                <w:spacing w:val="1"/>
                <w:sz w:val="28"/>
                <w:szCs w:val="28"/>
              </w:rPr>
              <w:t>-</w:t>
            </w:r>
            <w:r>
              <w:rPr>
                <w:rFonts w:ascii="宋体" w:hAnsi="宋体" w:cs="宋体"/>
                <w:sz w:val="28"/>
                <w:szCs w:val="28"/>
              </w:rPr>
              <w:t>A</w:t>
            </w:r>
            <w:r>
              <w:rPr>
                <w:rFonts w:ascii="宋体" w:hAnsi="宋体" w:cs="宋体"/>
                <w:spacing w:val="1"/>
                <w:sz w:val="28"/>
                <w:szCs w:val="28"/>
              </w:rPr>
              <w:t>级</w:t>
            </w:r>
          </w:p>
        </w:tc>
        <w:tc>
          <w:tcPr>
            <w:tcW w:w="1664" w:type="dxa"/>
            <w:tcBorders>
              <w:top w:val="single" w:color="000000" w:sz="2" w:space="0"/>
              <w:bottom w:val="single" w:color="000000" w:sz="2" w:space="0"/>
            </w:tcBorders>
            <w:noWrap w:val="0"/>
            <w:vAlign w:val="top"/>
          </w:tcPr>
          <w:p w14:paraId="264713B6">
            <w:pPr>
              <w:spacing w:line="278" w:lineRule="auto"/>
              <w:rPr>
                <w:rFonts w:ascii="Arial"/>
              </w:rPr>
            </w:pPr>
          </w:p>
          <w:p w14:paraId="5AC297AD">
            <w:pPr>
              <w:spacing w:before="91" w:line="377" w:lineRule="exact"/>
              <w:ind w:left="574"/>
              <w:rPr>
                <w:rFonts w:hint="default" w:ascii="宋体" w:hAnsi="宋体" w:cs="宋体" w:eastAsiaTheme="minorEastAsia"/>
                <w:sz w:val="28"/>
                <w:szCs w:val="28"/>
                <w:lang w:val="en-US" w:eastAsia="zh-CN"/>
              </w:rPr>
            </w:pPr>
            <w:r>
              <w:rPr>
                <w:rFonts w:ascii="宋体" w:hAnsi="宋体" w:cs="宋体"/>
                <w:spacing w:val="7"/>
                <w:position w:val="1"/>
                <w:sz w:val="28"/>
                <w:szCs w:val="28"/>
              </w:rPr>
              <w:t>-</w:t>
            </w:r>
            <w:r>
              <w:rPr>
                <w:rFonts w:ascii="宋体" w:hAnsi="宋体" w:cs="宋体"/>
                <w:spacing w:val="5"/>
                <w:position w:val="1"/>
                <w:sz w:val="28"/>
                <w:szCs w:val="28"/>
              </w:rPr>
              <w:t>0.</w:t>
            </w:r>
            <w:r>
              <w:rPr>
                <w:rFonts w:hint="eastAsia" w:ascii="宋体" w:hAnsi="宋体" w:cs="宋体"/>
                <w:spacing w:val="5"/>
                <w:position w:val="1"/>
                <w:sz w:val="28"/>
                <w:szCs w:val="28"/>
                <w:lang w:val="en-US" w:eastAsia="zh-CN"/>
              </w:rPr>
              <w:t>02</w:t>
            </w:r>
          </w:p>
        </w:tc>
        <w:tc>
          <w:tcPr>
            <w:tcW w:w="1665" w:type="dxa"/>
            <w:tcBorders>
              <w:top w:val="single" w:color="000000" w:sz="2" w:space="0"/>
              <w:bottom w:val="single" w:color="000000" w:sz="2" w:space="0"/>
            </w:tcBorders>
            <w:noWrap w:val="0"/>
            <w:vAlign w:val="top"/>
          </w:tcPr>
          <w:p w14:paraId="36C4D922">
            <w:pPr>
              <w:spacing w:line="278" w:lineRule="auto"/>
              <w:rPr>
                <w:rFonts w:ascii="Arial"/>
              </w:rPr>
            </w:pPr>
          </w:p>
          <w:p w14:paraId="5153CD9B">
            <w:pPr>
              <w:spacing w:before="91" w:line="377" w:lineRule="exact"/>
              <w:ind w:left="586"/>
              <w:rPr>
                <w:rFonts w:hint="default" w:ascii="宋体" w:hAnsi="宋体" w:cs="宋体" w:eastAsiaTheme="minorEastAsia"/>
                <w:sz w:val="28"/>
                <w:szCs w:val="28"/>
                <w:lang w:val="en-US" w:eastAsia="zh-CN"/>
              </w:rPr>
            </w:pPr>
            <w:r>
              <w:rPr>
                <w:rFonts w:ascii="宋体" w:hAnsi="宋体" w:cs="宋体"/>
                <w:spacing w:val="2"/>
                <w:position w:val="1"/>
                <w:sz w:val="28"/>
                <w:szCs w:val="28"/>
              </w:rPr>
              <w:t>-0</w:t>
            </w:r>
            <w:r>
              <w:rPr>
                <w:rFonts w:ascii="宋体" w:hAnsi="宋体" w:cs="宋体"/>
                <w:spacing w:val="1"/>
                <w:position w:val="1"/>
                <w:sz w:val="28"/>
                <w:szCs w:val="28"/>
              </w:rPr>
              <w:t>.</w:t>
            </w:r>
            <w:r>
              <w:rPr>
                <w:rFonts w:hint="eastAsia" w:ascii="宋体" w:hAnsi="宋体" w:cs="宋体"/>
                <w:spacing w:val="1"/>
                <w:position w:val="1"/>
                <w:sz w:val="28"/>
                <w:szCs w:val="28"/>
                <w:lang w:val="en-US" w:eastAsia="zh-CN"/>
              </w:rPr>
              <w:t>04</w:t>
            </w:r>
          </w:p>
        </w:tc>
        <w:tc>
          <w:tcPr>
            <w:tcW w:w="1585" w:type="dxa"/>
            <w:tcBorders>
              <w:top w:val="single" w:color="000000" w:sz="2" w:space="0"/>
              <w:bottom w:val="single" w:color="000000" w:sz="2" w:space="0"/>
            </w:tcBorders>
            <w:noWrap w:val="0"/>
            <w:vAlign w:val="top"/>
          </w:tcPr>
          <w:p w14:paraId="434BF290">
            <w:pPr>
              <w:spacing w:line="280" w:lineRule="auto"/>
              <w:rPr>
                <w:rFonts w:ascii="Arial"/>
              </w:rPr>
            </w:pPr>
          </w:p>
          <w:p w14:paraId="4F433BF3">
            <w:pPr>
              <w:spacing w:before="91" w:line="375" w:lineRule="exact"/>
              <w:ind w:left="488"/>
              <w:rPr>
                <w:rFonts w:hint="eastAsia" w:ascii="宋体" w:hAnsi="宋体" w:cs="宋体" w:eastAsiaTheme="minorEastAsia"/>
                <w:sz w:val="28"/>
                <w:szCs w:val="28"/>
                <w:lang w:eastAsia="zh-CN"/>
              </w:rPr>
            </w:pPr>
            <w:r>
              <w:rPr>
                <w:rFonts w:ascii="宋体" w:hAnsi="宋体" w:cs="宋体"/>
                <w:spacing w:val="-1"/>
                <w:position w:val="1"/>
                <w:sz w:val="28"/>
                <w:szCs w:val="28"/>
              </w:rPr>
              <w:t>-0.</w:t>
            </w:r>
            <w:r>
              <w:rPr>
                <w:rFonts w:ascii="宋体" w:hAnsi="宋体" w:cs="宋体"/>
                <w:position w:val="1"/>
                <w:sz w:val="28"/>
                <w:szCs w:val="28"/>
              </w:rPr>
              <w:t>0</w:t>
            </w:r>
            <w:r>
              <w:rPr>
                <w:rFonts w:hint="eastAsia" w:ascii="宋体" w:hAnsi="宋体" w:cs="宋体"/>
                <w:position w:val="1"/>
                <w:sz w:val="28"/>
                <w:szCs w:val="28"/>
                <w:lang w:val="en-US" w:eastAsia="zh-CN"/>
              </w:rPr>
              <w:t>5</w:t>
            </w:r>
          </w:p>
        </w:tc>
      </w:tr>
    </w:tbl>
    <w:p w14:paraId="1FF1B3BE">
      <w:pPr>
        <w:pStyle w:val="2"/>
        <w:rPr>
          <w:rFonts w:hint="default" w:ascii="仿宋_GB2312" w:hAnsi="仿宋_GB2312" w:eastAsia="仿宋_GB2312" w:cs="仿宋_GB2312"/>
          <w:sz w:val="32"/>
          <w:szCs w:val="32"/>
          <w:lang w:val="en-US" w:eastAsia="zh-CN"/>
        </w:rPr>
      </w:pPr>
    </w:p>
    <w:p w14:paraId="24BFC1D4">
      <w:pPr>
        <w:pStyle w:val="2"/>
        <w:rPr>
          <w:rFonts w:hint="default" w:ascii="仿宋_GB2312" w:hAnsi="仿宋_GB2312" w:eastAsia="仿宋_GB2312" w:cs="仿宋_GB2312"/>
          <w:sz w:val="32"/>
          <w:szCs w:val="32"/>
          <w:lang w:val="en-US" w:eastAsia="zh-CN"/>
        </w:rPr>
      </w:pPr>
    </w:p>
    <w:p w14:paraId="27D52101">
      <w:pPr>
        <w:pStyle w:val="2"/>
        <w:rPr>
          <w:rFonts w:hint="default" w:ascii="仿宋_GB2312" w:hAnsi="仿宋_GB2312" w:eastAsia="仿宋_GB2312" w:cs="仿宋_GB2312"/>
          <w:sz w:val="32"/>
          <w:szCs w:val="32"/>
          <w:lang w:val="en-US" w:eastAsia="zh-CN"/>
        </w:rPr>
      </w:pPr>
    </w:p>
    <w:p w14:paraId="58264E87">
      <w:pPr>
        <w:pStyle w:val="2"/>
        <w:rPr>
          <w:rFonts w:hint="default" w:ascii="仿宋_GB2312" w:hAnsi="仿宋_GB2312" w:eastAsia="仿宋_GB2312" w:cs="仿宋_GB2312"/>
          <w:sz w:val="32"/>
          <w:szCs w:val="32"/>
          <w:lang w:val="en-US" w:eastAsia="zh-CN"/>
        </w:rPr>
      </w:pPr>
    </w:p>
    <w:p w14:paraId="0F5FEF1B">
      <w:pPr>
        <w:pStyle w:val="2"/>
        <w:rPr>
          <w:rFonts w:hint="default" w:ascii="仿宋_GB2312" w:hAnsi="仿宋_GB2312" w:eastAsia="仿宋_GB2312" w:cs="仿宋_GB2312"/>
          <w:sz w:val="32"/>
          <w:szCs w:val="32"/>
          <w:lang w:val="en-US" w:eastAsia="zh-CN"/>
        </w:rPr>
      </w:pPr>
    </w:p>
    <w:p w14:paraId="02AD2EBA">
      <w:pPr>
        <w:pStyle w:val="2"/>
        <w:rPr>
          <w:rFonts w:hint="default" w:ascii="仿宋_GB2312" w:hAnsi="仿宋_GB2312" w:eastAsia="仿宋_GB2312" w:cs="仿宋_GB2312"/>
          <w:sz w:val="32"/>
          <w:szCs w:val="32"/>
          <w:lang w:val="en-US" w:eastAsia="zh-CN"/>
        </w:rPr>
      </w:pPr>
    </w:p>
    <w:p w14:paraId="71506196">
      <w:pPr>
        <w:pStyle w:val="2"/>
        <w:rPr>
          <w:rFonts w:hint="default" w:ascii="仿宋_GB2312" w:hAnsi="仿宋_GB2312" w:eastAsia="仿宋_GB2312" w:cs="仿宋_GB2312"/>
          <w:sz w:val="32"/>
          <w:szCs w:val="32"/>
          <w:lang w:val="en-US" w:eastAsia="zh-CN"/>
        </w:rPr>
      </w:pPr>
    </w:p>
    <w:p w14:paraId="7BB7D528">
      <w:pPr>
        <w:pStyle w:val="2"/>
        <w:rPr>
          <w:rFonts w:hint="default" w:ascii="仿宋_GB2312" w:hAnsi="仿宋_GB2312" w:eastAsia="仿宋_GB2312" w:cs="仿宋_GB2312"/>
          <w:sz w:val="32"/>
          <w:szCs w:val="32"/>
          <w:lang w:val="en-US" w:eastAsia="zh-CN"/>
        </w:rPr>
      </w:pPr>
    </w:p>
    <w:p w14:paraId="348F40A4">
      <w:pPr>
        <w:widowControl/>
        <w:kinsoku w:val="0"/>
        <w:autoSpaceDE w:val="0"/>
        <w:autoSpaceDN w:val="0"/>
        <w:adjustRightInd w:val="0"/>
        <w:snapToGrid w:val="0"/>
        <w:spacing w:line="560" w:lineRule="exact"/>
        <w:ind w:right="1125"/>
        <w:textAlignment w:val="baseline"/>
        <w:rPr>
          <w:rFonts w:hint="eastAsia" w:ascii="仿宋_GB2312" w:hAnsi="仿宋_GB2312" w:eastAsia="仿宋_GB2312" w:cs="仿宋_GB2312"/>
          <w:spacing w:val="-44"/>
          <w:sz w:val="36"/>
          <w:szCs w:val="36"/>
        </w:rPr>
      </w:pPr>
      <w:r>
        <w:rPr>
          <w:rFonts w:hint="eastAsia" w:ascii="仿宋_GB2312" w:hAnsi="仿宋_GB2312" w:eastAsia="仿宋_GB2312" w:cs="仿宋_GB2312"/>
          <w:spacing w:val="-9"/>
          <w:sz w:val="32"/>
          <w:szCs w:val="32"/>
        </w:rPr>
        <w:t>附件2</w:t>
      </w:r>
    </w:p>
    <w:p w14:paraId="5728D812">
      <w:pPr>
        <w:spacing w:before="299" w:line="221" w:lineRule="auto"/>
        <w:jc w:val="center"/>
        <w:rPr>
          <w:rFonts w:ascii="宋体" w:hAnsi="宋体" w:cs="宋体"/>
          <w:spacing w:val="3"/>
          <w:sz w:val="28"/>
          <w:szCs w:val="28"/>
        </w:rPr>
      </w:pPr>
      <w:r>
        <w:rPr>
          <w:rFonts w:ascii="宋体" w:hAnsi="宋体" w:cs="宋体"/>
          <w:b/>
          <w:bCs/>
          <w:spacing w:val="3"/>
          <w:sz w:val="28"/>
          <w:szCs w:val="28"/>
        </w:rPr>
        <w:t>肿瘤病例疾病严重程度目录及加权系数</w:t>
      </w:r>
    </w:p>
    <w:p w14:paraId="439B8CB7">
      <w:pPr>
        <w:spacing w:line="117" w:lineRule="exact"/>
      </w:pPr>
    </w:p>
    <w:tbl>
      <w:tblPr>
        <w:tblStyle w:val="9"/>
        <w:tblW w:w="87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65"/>
        <w:gridCol w:w="1671"/>
        <w:gridCol w:w="1650"/>
        <w:gridCol w:w="1600"/>
      </w:tblGrid>
      <w:tr w14:paraId="45E5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3865" w:type="dxa"/>
            <w:tcBorders>
              <w:top w:val="single" w:color="000000" w:sz="2" w:space="0"/>
              <w:bottom w:val="single" w:color="000000" w:sz="2" w:space="0"/>
            </w:tcBorders>
            <w:noWrap w:val="0"/>
            <w:vAlign w:val="top"/>
          </w:tcPr>
          <w:p w14:paraId="19C41FE3">
            <w:pPr>
              <w:spacing w:before="298" w:line="220" w:lineRule="auto"/>
              <w:jc w:val="center"/>
              <w:rPr>
                <w:rFonts w:ascii="宋体" w:hAnsi="宋体" w:cs="宋体"/>
                <w:sz w:val="28"/>
                <w:szCs w:val="28"/>
              </w:rPr>
            </w:pPr>
            <w:r>
              <w:rPr>
                <w:rFonts w:ascii="宋体" w:hAnsi="宋体" w:cs="宋体"/>
                <w:spacing w:val="7"/>
                <w:sz w:val="28"/>
                <w:szCs w:val="28"/>
              </w:rPr>
              <w:t>级别</w:t>
            </w:r>
          </w:p>
        </w:tc>
        <w:tc>
          <w:tcPr>
            <w:tcW w:w="1671" w:type="dxa"/>
            <w:tcBorders>
              <w:top w:val="single" w:color="000000" w:sz="2" w:space="0"/>
              <w:bottom w:val="single" w:color="000000" w:sz="2" w:space="0"/>
            </w:tcBorders>
            <w:noWrap w:val="0"/>
            <w:vAlign w:val="top"/>
          </w:tcPr>
          <w:p w14:paraId="6881A6EC">
            <w:pPr>
              <w:spacing w:before="298" w:line="220" w:lineRule="auto"/>
              <w:jc w:val="center"/>
              <w:rPr>
                <w:rFonts w:ascii="宋体" w:hAnsi="宋体" w:cs="宋体"/>
                <w:sz w:val="28"/>
                <w:szCs w:val="28"/>
              </w:rPr>
            </w:pPr>
            <w:r>
              <w:rPr>
                <w:rFonts w:ascii="宋体" w:hAnsi="宋体" w:cs="宋体"/>
                <w:spacing w:val="2"/>
                <w:sz w:val="28"/>
                <w:szCs w:val="28"/>
              </w:rPr>
              <w:t>一级医院</w:t>
            </w:r>
          </w:p>
        </w:tc>
        <w:tc>
          <w:tcPr>
            <w:tcW w:w="1650" w:type="dxa"/>
            <w:tcBorders>
              <w:top w:val="single" w:color="000000" w:sz="2" w:space="0"/>
              <w:bottom w:val="single" w:color="000000" w:sz="2" w:space="0"/>
            </w:tcBorders>
            <w:noWrap w:val="0"/>
            <w:vAlign w:val="top"/>
          </w:tcPr>
          <w:p w14:paraId="0DB6449B">
            <w:pPr>
              <w:spacing w:before="298" w:line="220" w:lineRule="auto"/>
              <w:jc w:val="center"/>
              <w:rPr>
                <w:rFonts w:ascii="宋体" w:hAnsi="宋体" w:cs="宋体"/>
                <w:sz w:val="28"/>
                <w:szCs w:val="28"/>
              </w:rPr>
            </w:pPr>
            <w:r>
              <w:rPr>
                <w:rFonts w:ascii="宋体" w:hAnsi="宋体" w:cs="宋体"/>
                <w:spacing w:val="2"/>
                <w:sz w:val="28"/>
                <w:szCs w:val="28"/>
              </w:rPr>
              <w:t>二级医院</w:t>
            </w:r>
          </w:p>
        </w:tc>
        <w:tc>
          <w:tcPr>
            <w:tcW w:w="1600" w:type="dxa"/>
            <w:tcBorders>
              <w:top w:val="single" w:color="000000" w:sz="2" w:space="0"/>
              <w:bottom w:val="single" w:color="000000" w:sz="2" w:space="0"/>
            </w:tcBorders>
            <w:noWrap w:val="0"/>
            <w:vAlign w:val="top"/>
          </w:tcPr>
          <w:p w14:paraId="1A574CBC">
            <w:pPr>
              <w:spacing w:before="298" w:line="220" w:lineRule="auto"/>
              <w:jc w:val="center"/>
              <w:rPr>
                <w:rFonts w:ascii="宋体" w:hAnsi="宋体" w:cs="宋体"/>
                <w:sz w:val="28"/>
                <w:szCs w:val="28"/>
              </w:rPr>
            </w:pPr>
            <w:r>
              <w:rPr>
                <w:rFonts w:ascii="宋体" w:hAnsi="宋体" w:cs="宋体"/>
                <w:spacing w:val="-3"/>
                <w:sz w:val="28"/>
                <w:szCs w:val="28"/>
              </w:rPr>
              <w:t>三</w:t>
            </w:r>
            <w:r>
              <w:rPr>
                <w:rFonts w:ascii="宋体" w:hAnsi="宋体" w:cs="宋体"/>
                <w:spacing w:val="-2"/>
                <w:sz w:val="28"/>
                <w:szCs w:val="28"/>
              </w:rPr>
              <w:t>级医院</w:t>
            </w:r>
          </w:p>
        </w:tc>
      </w:tr>
      <w:tr w14:paraId="1E12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3865" w:type="dxa"/>
            <w:tcBorders>
              <w:top w:val="single" w:color="000000" w:sz="2" w:space="0"/>
              <w:bottom w:val="single" w:color="000000" w:sz="2" w:space="0"/>
            </w:tcBorders>
            <w:noWrap w:val="0"/>
            <w:vAlign w:val="top"/>
          </w:tcPr>
          <w:p w14:paraId="38DC0FBF">
            <w:pPr>
              <w:spacing w:before="299" w:line="221" w:lineRule="auto"/>
              <w:ind w:left="65"/>
              <w:jc w:val="center"/>
              <w:rPr>
                <w:rFonts w:ascii="宋体" w:hAnsi="宋体" w:cs="宋体"/>
                <w:sz w:val="28"/>
                <w:szCs w:val="28"/>
              </w:rPr>
            </w:pPr>
            <w:r>
              <w:rPr>
                <w:rFonts w:ascii="宋体" w:hAnsi="宋体" w:cs="宋体"/>
                <w:spacing w:val="3"/>
                <w:sz w:val="28"/>
                <w:szCs w:val="28"/>
              </w:rPr>
              <w:t>死亡病例</w:t>
            </w:r>
            <w:r>
              <w:rPr>
                <w:rFonts w:ascii="宋体" w:hAnsi="宋体" w:cs="宋体"/>
                <w:sz w:val="28"/>
                <w:szCs w:val="28"/>
              </w:rPr>
              <w:t>VI</w:t>
            </w:r>
            <w:r>
              <w:rPr>
                <w:rFonts w:ascii="宋体" w:hAnsi="宋体" w:cs="宋体"/>
                <w:spacing w:val="3"/>
                <w:sz w:val="28"/>
                <w:szCs w:val="28"/>
              </w:rPr>
              <w:t>-</w:t>
            </w:r>
            <w:r>
              <w:rPr>
                <w:rFonts w:ascii="宋体" w:hAnsi="宋体" w:cs="宋体"/>
                <w:sz w:val="28"/>
                <w:szCs w:val="28"/>
              </w:rPr>
              <w:t>A</w:t>
            </w:r>
            <w:r>
              <w:rPr>
                <w:rFonts w:ascii="宋体" w:hAnsi="宋体" w:cs="宋体"/>
                <w:spacing w:val="2"/>
                <w:sz w:val="28"/>
                <w:szCs w:val="28"/>
              </w:rPr>
              <w:t>级</w:t>
            </w:r>
          </w:p>
        </w:tc>
        <w:tc>
          <w:tcPr>
            <w:tcW w:w="1671" w:type="dxa"/>
            <w:tcBorders>
              <w:top w:val="single" w:color="000000" w:sz="2" w:space="0"/>
              <w:bottom w:val="single" w:color="000000" w:sz="2" w:space="0"/>
            </w:tcBorders>
            <w:noWrap w:val="0"/>
            <w:vAlign w:val="top"/>
          </w:tcPr>
          <w:p w14:paraId="17C3084E">
            <w:pPr>
              <w:spacing w:line="276" w:lineRule="auto"/>
              <w:rPr>
                <w:rFonts w:ascii="Arial"/>
              </w:rPr>
            </w:pPr>
          </w:p>
          <w:p w14:paraId="6A46EA07">
            <w:pPr>
              <w:spacing w:before="91" w:line="375" w:lineRule="exact"/>
              <w:ind w:left="504"/>
              <w:rPr>
                <w:rFonts w:hint="eastAsia" w:ascii="宋体" w:hAnsi="宋体" w:cs="宋体" w:eastAsiaTheme="minorEastAsia"/>
                <w:sz w:val="28"/>
                <w:szCs w:val="28"/>
                <w:lang w:eastAsia="zh-CN"/>
              </w:rPr>
            </w:pPr>
            <w:r>
              <w:rPr>
                <w:rFonts w:ascii="宋体" w:hAnsi="宋体" w:cs="宋体"/>
                <w:spacing w:val="-1"/>
                <w:position w:val="1"/>
                <w:sz w:val="28"/>
                <w:szCs w:val="28"/>
              </w:rPr>
              <w:t>-0.</w:t>
            </w:r>
            <w:r>
              <w:rPr>
                <w:rFonts w:ascii="宋体" w:hAnsi="宋体" w:cs="宋体"/>
                <w:position w:val="1"/>
                <w:sz w:val="28"/>
                <w:szCs w:val="28"/>
              </w:rPr>
              <w:t>0</w:t>
            </w:r>
            <w:r>
              <w:rPr>
                <w:rFonts w:hint="eastAsia" w:ascii="宋体" w:hAnsi="宋体" w:cs="宋体"/>
                <w:position w:val="1"/>
                <w:sz w:val="28"/>
                <w:szCs w:val="28"/>
                <w:lang w:val="en-US" w:eastAsia="zh-CN"/>
              </w:rPr>
              <w:t>2</w:t>
            </w:r>
          </w:p>
        </w:tc>
        <w:tc>
          <w:tcPr>
            <w:tcW w:w="1650" w:type="dxa"/>
            <w:tcBorders>
              <w:top w:val="single" w:color="000000" w:sz="2" w:space="0"/>
              <w:bottom w:val="single" w:color="000000" w:sz="2" w:space="0"/>
            </w:tcBorders>
            <w:noWrap w:val="0"/>
            <w:vAlign w:val="top"/>
          </w:tcPr>
          <w:p w14:paraId="6AC20484">
            <w:pPr>
              <w:spacing w:line="276" w:lineRule="auto"/>
              <w:rPr>
                <w:rFonts w:ascii="Arial"/>
              </w:rPr>
            </w:pPr>
          </w:p>
          <w:p w14:paraId="4AE9FB18">
            <w:pPr>
              <w:spacing w:before="91" w:line="375" w:lineRule="exact"/>
              <w:ind w:left="506"/>
              <w:rPr>
                <w:rFonts w:hint="eastAsia" w:ascii="宋体" w:hAnsi="宋体" w:cs="宋体" w:eastAsiaTheme="minorEastAsia"/>
                <w:sz w:val="28"/>
                <w:szCs w:val="28"/>
                <w:lang w:eastAsia="zh-CN"/>
              </w:rPr>
            </w:pPr>
            <w:r>
              <w:rPr>
                <w:rFonts w:ascii="宋体" w:hAnsi="宋体" w:cs="宋体"/>
                <w:spacing w:val="-1"/>
                <w:position w:val="1"/>
                <w:sz w:val="28"/>
                <w:szCs w:val="28"/>
              </w:rPr>
              <w:t>-0.0</w:t>
            </w:r>
            <w:r>
              <w:rPr>
                <w:rFonts w:hint="eastAsia" w:ascii="宋体" w:hAnsi="宋体" w:cs="宋体"/>
                <w:position w:val="1"/>
                <w:sz w:val="28"/>
                <w:szCs w:val="28"/>
                <w:lang w:val="en-US" w:eastAsia="zh-CN"/>
              </w:rPr>
              <w:t>4</w:t>
            </w:r>
          </w:p>
        </w:tc>
        <w:tc>
          <w:tcPr>
            <w:tcW w:w="1600" w:type="dxa"/>
            <w:tcBorders>
              <w:top w:val="single" w:color="000000" w:sz="2" w:space="0"/>
              <w:bottom w:val="single" w:color="000000" w:sz="2" w:space="0"/>
            </w:tcBorders>
            <w:noWrap w:val="0"/>
            <w:vAlign w:val="top"/>
          </w:tcPr>
          <w:p w14:paraId="71BCA87B">
            <w:pPr>
              <w:spacing w:line="275" w:lineRule="auto"/>
              <w:rPr>
                <w:rFonts w:ascii="Arial"/>
              </w:rPr>
            </w:pPr>
          </w:p>
          <w:p w14:paraId="19177101">
            <w:pPr>
              <w:spacing w:before="91" w:line="376" w:lineRule="exact"/>
              <w:ind w:left="558"/>
              <w:rPr>
                <w:rFonts w:hint="default" w:ascii="宋体" w:hAnsi="宋体" w:cs="宋体" w:eastAsiaTheme="minorEastAsia"/>
                <w:sz w:val="28"/>
                <w:szCs w:val="28"/>
                <w:lang w:val="en-US" w:eastAsia="zh-CN"/>
              </w:rPr>
            </w:pPr>
            <w:r>
              <w:rPr>
                <w:rFonts w:ascii="宋体" w:hAnsi="宋体" w:cs="宋体"/>
                <w:spacing w:val="7"/>
                <w:position w:val="1"/>
                <w:sz w:val="28"/>
                <w:szCs w:val="28"/>
              </w:rPr>
              <w:t>-</w:t>
            </w:r>
            <w:r>
              <w:rPr>
                <w:rFonts w:ascii="宋体" w:hAnsi="宋体" w:cs="宋体"/>
                <w:spacing w:val="5"/>
                <w:position w:val="1"/>
                <w:sz w:val="28"/>
                <w:szCs w:val="28"/>
              </w:rPr>
              <w:t>0.</w:t>
            </w:r>
            <w:r>
              <w:rPr>
                <w:rFonts w:hint="eastAsia" w:ascii="宋体" w:hAnsi="宋体" w:cs="宋体"/>
                <w:spacing w:val="5"/>
                <w:position w:val="1"/>
                <w:sz w:val="28"/>
                <w:szCs w:val="28"/>
                <w:lang w:val="en-US" w:eastAsia="zh-CN"/>
              </w:rPr>
              <w:t>05</w:t>
            </w:r>
          </w:p>
        </w:tc>
      </w:tr>
      <w:tr w14:paraId="65F96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3865" w:type="dxa"/>
            <w:tcBorders>
              <w:top w:val="single" w:color="000000" w:sz="2" w:space="0"/>
              <w:bottom w:val="single" w:color="000000" w:sz="2" w:space="0"/>
            </w:tcBorders>
            <w:noWrap w:val="0"/>
            <w:vAlign w:val="top"/>
          </w:tcPr>
          <w:p w14:paraId="16E4A0C2">
            <w:pPr>
              <w:spacing w:before="300" w:line="221" w:lineRule="auto"/>
              <w:ind w:left="65"/>
              <w:jc w:val="center"/>
              <w:rPr>
                <w:rFonts w:ascii="宋体" w:hAnsi="宋体" w:cs="宋体"/>
                <w:sz w:val="28"/>
                <w:szCs w:val="28"/>
              </w:rPr>
            </w:pPr>
            <w:r>
              <w:rPr>
                <w:rFonts w:ascii="宋体" w:hAnsi="宋体" w:cs="宋体"/>
                <w:spacing w:val="3"/>
                <w:sz w:val="28"/>
                <w:szCs w:val="28"/>
              </w:rPr>
              <w:t>死亡病例</w:t>
            </w:r>
            <w:r>
              <w:rPr>
                <w:rFonts w:ascii="宋体" w:hAnsi="宋体" w:cs="宋体"/>
                <w:sz w:val="28"/>
                <w:szCs w:val="28"/>
              </w:rPr>
              <w:t>VI</w:t>
            </w:r>
            <w:r>
              <w:rPr>
                <w:rFonts w:ascii="宋体" w:hAnsi="宋体" w:cs="宋体"/>
                <w:spacing w:val="3"/>
                <w:sz w:val="28"/>
                <w:szCs w:val="28"/>
              </w:rPr>
              <w:t>-</w:t>
            </w:r>
            <w:r>
              <w:rPr>
                <w:rFonts w:ascii="宋体" w:hAnsi="宋体" w:cs="宋体"/>
                <w:sz w:val="28"/>
                <w:szCs w:val="28"/>
              </w:rPr>
              <w:t>B</w:t>
            </w:r>
            <w:r>
              <w:rPr>
                <w:rFonts w:ascii="宋体" w:hAnsi="宋体" w:cs="宋体"/>
                <w:spacing w:val="2"/>
                <w:sz w:val="28"/>
                <w:szCs w:val="28"/>
              </w:rPr>
              <w:t>级</w:t>
            </w:r>
          </w:p>
        </w:tc>
        <w:tc>
          <w:tcPr>
            <w:tcW w:w="1671" w:type="dxa"/>
            <w:tcBorders>
              <w:top w:val="single" w:color="000000" w:sz="2" w:space="0"/>
              <w:bottom w:val="single" w:color="000000" w:sz="2" w:space="0"/>
            </w:tcBorders>
            <w:noWrap w:val="0"/>
            <w:vAlign w:val="top"/>
          </w:tcPr>
          <w:p w14:paraId="5A41E64D">
            <w:pPr>
              <w:spacing w:line="277" w:lineRule="auto"/>
              <w:rPr>
                <w:rFonts w:ascii="Arial"/>
              </w:rPr>
            </w:pPr>
          </w:p>
          <w:p w14:paraId="42BD6F3D">
            <w:pPr>
              <w:spacing w:before="91" w:line="184" w:lineRule="auto"/>
              <w:ind w:left="574"/>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.05</w:t>
            </w:r>
          </w:p>
        </w:tc>
        <w:tc>
          <w:tcPr>
            <w:tcW w:w="1650" w:type="dxa"/>
            <w:tcBorders>
              <w:top w:val="single" w:color="000000" w:sz="2" w:space="0"/>
              <w:bottom w:val="single" w:color="000000" w:sz="2" w:space="0"/>
            </w:tcBorders>
            <w:noWrap w:val="0"/>
            <w:vAlign w:val="top"/>
          </w:tcPr>
          <w:p w14:paraId="6FA90979">
            <w:pPr>
              <w:spacing w:line="277" w:lineRule="auto"/>
              <w:rPr>
                <w:rFonts w:ascii="Arial"/>
              </w:rPr>
            </w:pPr>
          </w:p>
          <w:p w14:paraId="5EE7BFE2">
            <w:pPr>
              <w:spacing w:before="91" w:line="184" w:lineRule="auto"/>
              <w:ind w:left="64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.08</w:t>
            </w:r>
          </w:p>
        </w:tc>
        <w:tc>
          <w:tcPr>
            <w:tcW w:w="1600" w:type="dxa"/>
            <w:tcBorders>
              <w:top w:val="single" w:color="000000" w:sz="2" w:space="0"/>
              <w:bottom w:val="single" w:color="000000" w:sz="2" w:space="0"/>
            </w:tcBorders>
            <w:noWrap w:val="0"/>
            <w:vAlign w:val="top"/>
          </w:tcPr>
          <w:p w14:paraId="6FBD6FA9">
            <w:pPr>
              <w:spacing w:line="276" w:lineRule="auto"/>
              <w:rPr>
                <w:rFonts w:ascii="Arial"/>
              </w:rPr>
            </w:pPr>
          </w:p>
          <w:p w14:paraId="7CFEAC36">
            <w:pPr>
              <w:spacing w:before="91" w:line="185" w:lineRule="auto"/>
              <w:ind w:left="628"/>
              <w:rPr>
                <w:rFonts w:ascii="宋体" w:hAnsi="宋体" w:cs="宋体"/>
                <w:sz w:val="28"/>
                <w:szCs w:val="28"/>
              </w:rPr>
            </w:pPr>
            <w:r>
              <w:rPr>
                <w:rFonts w:ascii="宋体" w:hAnsi="宋体" w:cs="宋体"/>
                <w:spacing w:val="-3"/>
                <w:sz w:val="28"/>
                <w:szCs w:val="28"/>
              </w:rPr>
              <w:t>0.1</w:t>
            </w:r>
          </w:p>
        </w:tc>
      </w:tr>
      <w:tr w14:paraId="46D6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3865" w:type="dxa"/>
            <w:tcBorders>
              <w:top w:val="single" w:color="000000" w:sz="2" w:space="0"/>
              <w:bottom w:val="single" w:color="000000" w:sz="2" w:space="0"/>
            </w:tcBorders>
            <w:noWrap w:val="0"/>
            <w:vAlign w:val="top"/>
          </w:tcPr>
          <w:p w14:paraId="28F80BB8">
            <w:pPr>
              <w:spacing w:before="300" w:line="220" w:lineRule="auto"/>
              <w:ind w:left="65"/>
              <w:jc w:val="center"/>
              <w:rPr>
                <w:rFonts w:ascii="宋体" w:hAnsi="宋体" w:cs="宋体"/>
                <w:sz w:val="28"/>
                <w:szCs w:val="28"/>
              </w:rPr>
            </w:pPr>
            <w:r>
              <w:rPr>
                <w:rFonts w:ascii="宋体" w:hAnsi="宋体" w:cs="宋体"/>
                <w:spacing w:val="4"/>
                <w:sz w:val="28"/>
                <w:szCs w:val="28"/>
              </w:rPr>
              <w:t>放疗严重病</w:t>
            </w:r>
            <w:r>
              <w:rPr>
                <w:rFonts w:ascii="宋体" w:hAnsi="宋体" w:cs="宋体"/>
                <w:spacing w:val="2"/>
                <w:sz w:val="28"/>
                <w:szCs w:val="28"/>
              </w:rPr>
              <w:t>例</w:t>
            </w:r>
          </w:p>
        </w:tc>
        <w:tc>
          <w:tcPr>
            <w:tcW w:w="1671" w:type="dxa"/>
            <w:tcBorders>
              <w:top w:val="single" w:color="000000" w:sz="2" w:space="0"/>
              <w:bottom w:val="single" w:color="000000" w:sz="2" w:space="0"/>
            </w:tcBorders>
            <w:noWrap w:val="0"/>
            <w:vAlign w:val="top"/>
          </w:tcPr>
          <w:p w14:paraId="4A450A9F">
            <w:pPr>
              <w:spacing w:line="277" w:lineRule="auto"/>
              <w:rPr>
                <w:rFonts w:ascii="Arial"/>
              </w:rPr>
            </w:pPr>
          </w:p>
          <w:p w14:paraId="032FC6DE">
            <w:pPr>
              <w:spacing w:before="91" w:line="185" w:lineRule="auto"/>
              <w:ind w:left="644"/>
              <w:rPr>
                <w:rFonts w:ascii="宋体" w:hAnsi="宋体" w:cs="宋体"/>
                <w:sz w:val="28"/>
                <w:szCs w:val="28"/>
              </w:rPr>
            </w:pPr>
            <w:r>
              <w:rPr>
                <w:rFonts w:ascii="宋体" w:hAnsi="宋体" w:cs="宋体"/>
                <w:spacing w:val="-3"/>
                <w:sz w:val="28"/>
                <w:szCs w:val="28"/>
              </w:rPr>
              <w:t>0.1</w:t>
            </w:r>
          </w:p>
        </w:tc>
        <w:tc>
          <w:tcPr>
            <w:tcW w:w="1650" w:type="dxa"/>
            <w:tcBorders>
              <w:top w:val="single" w:color="000000" w:sz="2" w:space="0"/>
              <w:bottom w:val="single" w:color="000000" w:sz="2" w:space="0"/>
            </w:tcBorders>
            <w:noWrap w:val="0"/>
            <w:vAlign w:val="top"/>
          </w:tcPr>
          <w:p w14:paraId="63CBAE13">
            <w:pPr>
              <w:spacing w:line="277" w:lineRule="auto"/>
              <w:rPr>
                <w:rFonts w:ascii="Arial"/>
              </w:rPr>
            </w:pPr>
          </w:p>
          <w:p w14:paraId="4220583B">
            <w:pPr>
              <w:spacing w:before="91" w:line="185" w:lineRule="auto"/>
              <w:ind w:left="64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.16</w:t>
            </w:r>
          </w:p>
        </w:tc>
        <w:tc>
          <w:tcPr>
            <w:tcW w:w="1600" w:type="dxa"/>
            <w:tcBorders>
              <w:top w:val="single" w:color="000000" w:sz="2" w:space="0"/>
              <w:bottom w:val="single" w:color="000000" w:sz="2" w:space="0"/>
            </w:tcBorders>
            <w:noWrap w:val="0"/>
            <w:vAlign w:val="top"/>
          </w:tcPr>
          <w:p w14:paraId="6DB4CCC3">
            <w:pPr>
              <w:spacing w:line="278" w:lineRule="auto"/>
              <w:rPr>
                <w:rFonts w:ascii="Arial"/>
              </w:rPr>
            </w:pPr>
          </w:p>
          <w:p w14:paraId="108FC62C">
            <w:pPr>
              <w:spacing w:before="91" w:line="184" w:lineRule="auto"/>
              <w:ind w:left="628"/>
              <w:rPr>
                <w:rFonts w:ascii="宋体" w:hAnsi="宋体" w:cs="宋体"/>
                <w:sz w:val="28"/>
                <w:szCs w:val="28"/>
              </w:rPr>
            </w:pPr>
            <w:r>
              <w:rPr>
                <w:rFonts w:ascii="宋体" w:hAnsi="宋体" w:cs="宋体"/>
                <w:spacing w:val="-3"/>
                <w:sz w:val="28"/>
                <w:szCs w:val="28"/>
              </w:rPr>
              <w:t>0.2</w:t>
            </w:r>
          </w:p>
        </w:tc>
      </w:tr>
      <w:tr w14:paraId="3789C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3865" w:type="dxa"/>
            <w:tcBorders>
              <w:top w:val="single" w:color="000000" w:sz="2" w:space="0"/>
              <w:bottom w:val="single" w:color="000000" w:sz="2" w:space="0"/>
            </w:tcBorders>
            <w:noWrap w:val="0"/>
            <w:vAlign w:val="top"/>
          </w:tcPr>
          <w:p w14:paraId="25456473">
            <w:pPr>
              <w:spacing w:before="300" w:line="220" w:lineRule="auto"/>
              <w:ind w:left="65"/>
              <w:jc w:val="center"/>
              <w:rPr>
                <w:rFonts w:ascii="宋体" w:hAnsi="宋体" w:cs="宋体"/>
                <w:sz w:val="28"/>
                <w:szCs w:val="28"/>
              </w:rPr>
            </w:pPr>
            <w:r>
              <w:rPr>
                <w:rFonts w:ascii="宋体" w:hAnsi="宋体" w:cs="宋体"/>
                <w:spacing w:val="4"/>
                <w:sz w:val="28"/>
                <w:szCs w:val="28"/>
              </w:rPr>
              <w:t>化疗严重病</w:t>
            </w:r>
            <w:r>
              <w:rPr>
                <w:rFonts w:ascii="宋体" w:hAnsi="宋体" w:cs="宋体"/>
                <w:spacing w:val="2"/>
                <w:sz w:val="28"/>
                <w:szCs w:val="28"/>
              </w:rPr>
              <w:t>例</w:t>
            </w:r>
          </w:p>
        </w:tc>
        <w:tc>
          <w:tcPr>
            <w:tcW w:w="1671" w:type="dxa"/>
            <w:tcBorders>
              <w:top w:val="single" w:color="000000" w:sz="2" w:space="0"/>
              <w:bottom w:val="single" w:color="000000" w:sz="2" w:space="0"/>
            </w:tcBorders>
            <w:noWrap w:val="0"/>
            <w:vAlign w:val="top"/>
          </w:tcPr>
          <w:p w14:paraId="0F959D6C">
            <w:pPr>
              <w:spacing w:line="278" w:lineRule="auto"/>
              <w:rPr>
                <w:rFonts w:ascii="Arial"/>
              </w:rPr>
            </w:pPr>
          </w:p>
          <w:p w14:paraId="3F2224A4">
            <w:pPr>
              <w:spacing w:before="91" w:line="184" w:lineRule="auto"/>
              <w:ind w:left="574"/>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.05</w:t>
            </w:r>
          </w:p>
        </w:tc>
        <w:tc>
          <w:tcPr>
            <w:tcW w:w="1650" w:type="dxa"/>
            <w:tcBorders>
              <w:top w:val="single" w:color="000000" w:sz="2" w:space="0"/>
              <w:bottom w:val="single" w:color="000000" w:sz="2" w:space="0"/>
            </w:tcBorders>
            <w:noWrap w:val="0"/>
            <w:vAlign w:val="top"/>
          </w:tcPr>
          <w:p w14:paraId="2798D68D">
            <w:pPr>
              <w:spacing w:line="278" w:lineRule="auto"/>
              <w:rPr>
                <w:rFonts w:ascii="Arial"/>
              </w:rPr>
            </w:pPr>
          </w:p>
          <w:p w14:paraId="42B23EEF">
            <w:pPr>
              <w:spacing w:before="91" w:line="184" w:lineRule="auto"/>
              <w:ind w:left="64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.08</w:t>
            </w:r>
          </w:p>
        </w:tc>
        <w:tc>
          <w:tcPr>
            <w:tcW w:w="1600" w:type="dxa"/>
            <w:tcBorders>
              <w:top w:val="single" w:color="000000" w:sz="2" w:space="0"/>
              <w:bottom w:val="single" w:color="000000" w:sz="2" w:space="0"/>
            </w:tcBorders>
            <w:noWrap w:val="0"/>
            <w:vAlign w:val="top"/>
          </w:tcPr>
          <w:p w14:paraId="757E0058">
            <w:pPr>
              <w:spacing w:line="277" w:lineRule="auto"/>
              <w:rPr>
                <w:rFonts w:ascii="Arial"/>
              </w:rPr>
            </w:pPr>
          </w:p>
          <w:p w14:paraId="5E510210">
            <w:pPr>
              <w:spacing w:before="91" w:line="185" w:lineRule="auto"/>
              <w:ind w:left="628"/>
              <w:rPr>
                <w:rFonts w:ascii="宋体" w:hAnsi="宋体" w:cs="宋体"/>
                <w:sz w:val="28"/>
                <w:szCs w:val="28"/>
              </w:rPr>
            </w:pPr>
            <w:r>
              <w:rPr>
                <w:rFonts w:ascii="宋体" w:hAnsi="宋体" w:cs="宋体"/>
                <w:spacing w:val="-3"/>
                <w:sz w:val="28"/>
                <w:szCs w:val="28"/>
              </w:rPr>
              <w:t>0.1</w:t>
            </w:r>
          </w:p>
        </w:tc>
      </w:tr>
      <w:tr w14:paraId="1B1D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3865" w:type="dxa"/>
            <w:tcBorders>
              <w:top w:val="single" w:color="000000" w:sz="2" w:space="0"/>
              <w:bottom w:val="single" w:color="000000" w:sz="2" w:space="0"/>
            </w:tcBorders>
            <w:noWrap w:val="0"/>
            <w:vAlign w:val="top"/>
          </w:tcPr>
          <w:p w14:paraId="2AC5EA55">
            <w:pPr>
              <w:spacing w:before="301" w:line="220" w:lineRule="auto"/>
              <w:ind w:left="65"/>
              <w:jc w:val="center"/>
              <w:rPr>
                <w:rFonts w:ascii="宋体" w:hAnsi="宋体" w:cs="宋体"/>
                <w:sz w:val="28"/>
                <w:szCs w:val="28"/>
              </w:rPr>
            </w:pPr>
            <w:r>
              <w:rPr>
                <w:rFonts w:ascii="宋体" w:hAnsi="宋体" w:cs="宋体"/>
                <w:spacing w:val="7"/>
                <w:sz w:val="28"/>
                <w:szCs w:val="28"/>
              </w:rPr>
              <w:t>转</w:t>
            </w:r>
            <w:r>
              <w:rPr>
                <w:rFonts w:ascii="宋体" w:hAnsi="宋体" w:cs="宋体"/>
                <w:spacing w:val="5"/>
                <w:sz w:val="28"/>
                <w:szCs w:val="28"/>
              </w:rPr>
              <w:t>移病例</w:t>
            </w:r>
          </w:p>
        </w:tc>
        <w:tc>
          <w:tcPr>
            <w:tcW w:w="1671" w:type="dxa"/>
            <w:tcBorders>
              <w:top w:val="single" w:color="000000" w:sz="2" w:space="0"/>
              <w:bottom w:val="single" w:color="000000" w:sz="2" w:space="0"/>
            </w:tcBorders>
            <w:noWrap w:val="0"/>
            <w:vAlign w:val="top"/>
          </w:tcPr>
          <w:p w14:paraId="4C6934E2">
            <w:pPr>
              <w:spacing w:line="279" w:lineRule="auto"/>
              <w:rPr>
                <w:rFonts w:ascii="Arial"/>
              </w:rPr>
            </w:pPr>
          </w:p>
          <w:p w14:paraId="0E8D24FD">
            <w:pPr>
              <w:spacing w:before="91" w:line="184" w:lineRule="auto"/>
              <w:ind w:left="574"/>
              <w:rPr>
                <w:rFonts w:hint="eastAsia" w:ascii="宋体" w:hAnsi="宋体" w:cs="宋体" w:eastAsiaTheme="minorEastAsia"/>
                <w:sz w:val="28"/>
                <w:szCs w:val="28"/>
                <w:lang w:eastAsia="zh-CN"/>
              </w:rPr>
            </w:pPr>
            <w:r>
              <w:rPr>
                <w:rFonts w:ascii="宋体" w:hAnsi="宋体" w:cs="宋体"/>
                <w:spacing w:val="-4"/>
                <w:sz w:val="28"/>
                <w:szCs w:val="28"/>
              </w:rPr>
              <w:t>0</w:t>
            </w:r>
            <w:r>
              <w:rPr>
                <w:rFonts w:ascii="宋体" w:hAnsi="宋体" w:cs="宋体"/>
                <w:spacing w:val="-2"/>
                <w:sz w:val="28"/>
                <w:szCs w:val="28"/>
              </w:rPr>
              <w:t>.0</w:t>
            </w:r>
            <w:r>
              <w:rPr>
                <w:rFonts w:hint="eastAsia" w:ascii="宋体" w:hAnsi="宋体" w:cs="宋体"/>
                <w:spacing w:val="-2"/>
                <w:sz w:val="28"/>
                <w:szCs w:val="28"/>
                <w:lang w:val="en-US" w:eastAsia="zh-CN"/>
              </w:rPr>
              <w:t>5</w:t>
            </w:r>
          </w:p>
        </w:tc>
        <w:tc>
          <w:tcPr>
            <w:tcW w:w="1650" w:type="dxa"/>
            <w:tcBorders>
              <w:top w:val="single" w:color="000000" w:sz="2" w:space="0"/>
              <w:bottom w:val="single" w:color="000000" w:sz="2" w:space="0"/>
            </w:tcBorders>
            <w:noWrap w:val="0"/>
            <w:vAlign w:val="top"/>
          </w:tcPr>
          <w:p w14:paraId="3B48E20B">
            <w:pPr>
              <w:spacing w:line="279" w:lineRule="auto"/>
              <w:rPr>
                <w:rFonts w:ascii="Arial"/>
              </w:rPr>
            </w:pPr>
          </w:p>
          <w:p w14:paraId="3DE13DCE">
            <w:pPr>
              <w:spacing w:before="91" w:line="184" w:lineRule="auto"/>
              <w:ind w:left="646"/>
              <w:rPr>
                <w:rFonts w:hint="eastAsia" w:ascii="宋体" w:hAnsi="宋体" w:cs="宋体" w:eastAsiaTheme="minorEastAsia"/>
                <w:sz w:val="28"/>
                <w:szCs w:val="28"/>
                <w:lang w:eastAsia="zh-CN"/>
              </w:rPr>
            </w:pPr>
            <w:r>
              <w:rPr>
                <w:rFonts w:ascii="宋体" w:hAnsi="宋体" w:cs="宋体"/>
                <w:spacing w:val="-4"/>
                <w:sz w:val="28"/>
                <w:szCs w:val="28"/>
              </w:rPr>
              <w:t>0</w:t>
            </w:r>
            <w:r>
              <w:rPr>
                <w:rFonts w:ascii="宋体" w:hAnsi="宋体" w:cs="宋体"/>
                <w:spacing w:val="-2"/>
                <w:sz w:val="28"/>
                <w:szCs w:val="28"/>
              </w:rPr>
              <w:t>.0</w:t>
            </w:r>
            <w:r>
              <w:rPr>
                <w:rFonts w:hint="eastAsia" w:ascii="宋体" w:hAnsi="宋体" w:cs="宋体"/>
                <w:spacing w:val="-2"/>
                <w:sz w:val="28"/>
                <w:szCs w:val="28"/>
                <w:lang w:val="en-US" w:eastAsia="zh-CN"/>
              </w:rPr>
              <w:t>8</w:t>
            </w:r>
          </w:p>
        </w:tc>
        <w:tc>
          <w:tcPr>
            <w:tcW w:w="1600" w:type="dxa"/>
            <w:tcBorders>
              <w:top w:val="single" w:color="000000" w:sz="2" w:space="0"/>
              <w:bottom w:val="single" w:color="000000" w:sz="2" w:space="0"/>
            </w:tcBorders>
            <w:noWrap w:val="0"/>
            <w:vAlign w:val="top"/>
          </w:tcPr>
          <w:p w14:paraId="466AA847">
            <w:pPr>
              <w:spacing w:line="279" w:lineRule="auto"/>
              <w:rPr>
                <w:rFonts w:ascii="Arial"/>
              </w:rPr>
            </w:pPr>
          </w:p>
          <w:p w14:paraId="4C403EE6">
            <w:pPr>
              <w:spacing w:before="91" w:line="184" w:lineRule="auto"/>
              <w:ind w:left="558"/>
              <w:rPr>
                <w:rFonts w:hint="eastAsia" w:ascii="宋体" w:hAnsi="宋体" w:cs="宋体" w:eastAsiaTheme="minorEastAsia"/>
                <w:sz w:val="28"/>
                <w:szCs w:val="28"/>
                <w:lang w:eastAsia="zh-CN"/>
              </w:rPr>
            </w:pPr>
            <w:r>
              <w:rPr>
                <w:rFonts w:ascii="宋体" w:hAnsi="宋体" w:cs="宋体"/>
                <w:spacing w:val="-4"/>
                <w:sz w:val="28"/>
                <w:szCs w:val="28"/>
              </w:rPr>
              <w:t>0</w:t>
            </w:r>
            <w:r>
              <w:rPr>
                <w:rFonts w:ascii="宋体" w:hAnsi="宋体" w:cs="宋体"/>
                <w:spacing w:val="-2"/>
                <w:sz w:val="28"/>
                <w:szCs w:val="28"/>
              </w:rPr>
              <w:t>.</w:t>
            </w:r>
            <w:r>
              <w:rPr>
                <w:rFonts w:hint="eastAsia" w:ascii="宋体" w:hAnsi="宋体" w:cs="宋体"/>
                <w:spacing w:val="-2"/>
                <w:sz w:val="28"/>
                <w:szCs w:val="28"/>
                <w:lang w:val="en-US" w:eastAsia="zh-CN"/>
              </w:rPr>
              <w:t>1</w:t>
            </w:r>
          </w:p>
        </w:tc>
      </w:tr>
      <w:tr w14:paraId="143F9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3865" w:type="dxa"/>
            <w:tcBorders>
              <w:top w:val="single" w:color="000000" w:sz="2" w:space="0"/>
              <w:bottom w:val="single" w:color="000000" w:sz="2" w:space="0"/>
            </w:tcBorders>
            <w:noWrap w:val="0"/>
            <w:vAlign w:val="top"/>
          </w:tcPr>
          <w:p w14:paraId="75BF13E4">
            <w:pPr>
              <w:spacing w:before="301" w:line="220" w:lineRule="auto"/>
              <w:ind w:left="65"/>
              <w:jc w:val="center"/>
              <w:rPr>
                <w:rFonts w:ascii="宋体" w:hAnsi="宋体" w:cs="宋体"/>
                <w:sz w:val="28"/>
                <w:szCs w:val="28"/>
              </w:rPr>
            </w:pPr>
            <w:r>
              <w:rPr>
                <w:rFonts w:ascii="宋体" w:hAnsi="宋体" w:cs="宋体"/>
                <w:spacing w:val="7"/>
                <w:sz w:val="28"/>
                <w:szCs w:val="28"/>
              </w:rPr>
              <w:t>重</w:t>
            </w:r>
            <w:r>
              <w:rPr>
                <w:rFonts w:ascii="宋体" w:hAnsi="宋体" w:cs="宋体"/>
                <w:spacing w:val="5"/>
                <w:sz w:val="28"/>
                <w:szCs w:val="28"/>
              </w:rPr>
              <w:t>度病例</w:t>
            </w:r>
          </w:p>
        </w:tc>
        <w:tc>
          <w:tcPr>
            <w:tcW w:w="1671" w:type="dxa"/>
            <w:tcBorders>
              <w:top w:val="single" w:color="000000" w:sz="2" w:space="0"/>
              <w:bottom w:val="single" w:color="000000" w:sz="2" w:space="0"/>
            </w:tcBorders>
            <w:noWrap w:val="0"/>
            <w:vAlign w:val="top"/>
          </w:tcPr>
          <w:p w14:paraId="51A41EB2">
            <w:pPr>
              <w:spacing w:line="279" w:lineRule="auto"/>
              <w:rPr>
                <w:rFonts w:ascii="Arial"/>
              </w:rPr>
            </w:pPr>
          </w:p>
          <w:p w14:paraId="48D5D7C4">
            <w:pPr>
              <w:spacing w:before="91" w:line="184" w:lineRule="auto"/>
              <w:ind w:left="574"/>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.05</w:t>
            </w:r>
          </w:p>
        </w:tc>
        <w:tc>
          <w:tcPr>
            <w:tcW w:w="1650" w:type="dxa"/>
            <w:tcBorders>
              <w:top w:val="single" w:color="000000" w:sz="2" w:space="0"/>
              <w:bottom w:val="single" w:color="000000" w:sz="2" w:space="0"/>
            </w:tcBorders>
            <w:noWrap w:val="0"/>
            <w:vAlign w:val="top"/>
          </w:tcPr>
          <w:p w14:paraId="2C227861">
            <w:pPr>
              <w:spacing w:line="279" w:lineRule="auto"/>
              <w:rPr>
                <w:rFonts w:ascii="Arial"/>
              </w:rPr>
            </w:pPr>
          </w:p>
          <w:p w14:paraId="471F15D9">
            <w:pPr>
              <w:spacing w:before="91" w:line="184" w:lineRule="auto"/>
              <w:ind w:left="64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.08</w:t>
            </w:r>
          </w:p>
        </w:tc>
        <w:tc>
          <w:tcPr>
            <w:tcW w:w="1600" w:type="dxa"/>
            <w:tcBorders>
              <w:top w:val="single" w:color="000000" w:sz="2" w:space="0"/>
              <w:bottom w:val="single" w:color="000000" w:sz="2" w:space="0"/>
            </w:tcBorders>
            <w:noWrap w:val="0"/>
            <w:vAlign w:val="top"/>
          </w:tcPr>
          <w:p w14:paraId="78F9A69E">
            <w:pPr>
              <w:spacing w:line="278" w:lineRule="auto"/>
              <w:rPr>
                <w:rFonts w:ascii="Arial"/>
              </w:rPr>
            </w:pPr>
          </w:p>
          <w:p w14:paraId="2FE50B9D">
            <w:pPr>
              <w:spacing w:before="91" w:line="185" w:lineRule="auto"/>
              <w:ind w:left="628"/>
              <w:rPr>
                <w:rFonts w:ascii="宋体" w:hAnsi="宋体" w:cs="宋体"/>
                <w:sz w:val="28"/>
                <w:szCs w:val="28"/>
              </w:rPr>
            </w:pPr>
            <w:r>
              <w:rPr>
                <w:rFonts w:ascii="宋体" w:hAnsi="宋体" w:cs="宋体"/>
                <w:spacing w:val="-3"/>
                <w:sz w:val="28"/>
                <w:szCs w:val="28"/>
              </w:rPr>
              <w:t>0.1</w:t>
            </w:r>
          </w:p>
        </w:tc>
      </w:tr>
      <w:tr w14:paraId="62DB1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3865" w:type="dxa"/>
            <w:tcBorders>
              <w:top w:val="single" w:color="000000" w:sz="2" w:space="0"/>
              <w:bottom w:val="single" w:color="000000" w:sz="2" w:space="0"/>
            </w:tcBorders>
            <w:noWrap w:val="0"/>
            <w:vAlign w:val="top"/>
          </w:tcPr>
          <w:p w14:paraId="0BD59452">
            <w:pPr>
              <w:spacing w:before="302" w:line="220" w:lineRule="auto"/>
              <w:ind w:left="65"/>
              <w:jc w:val="center"/>
              <w:rPr>
                <w:rFonts w:ascii="宋体" w:hAnsi="宋体" w:cs="宋体"/>
                <w:sz w:val="28"/>
                <w:szCs w:val="28"/>
              </w:rPr>
            </w:pPr>
            <w:r>
              <w:rPr>
                <w:rFonts w:ascii="宋体" w:hAnsi="宋体" w:cs="宋体"/>
                <w:spacing w:val="7"/>
                <w:sz w:val="28"/>
                <w:szCs w:val="28"/>
              </w:rPr>
              <w:t>中</w:t>
            </w:r>
            <w:r>
              <w:rPr>
                <w:rFonts w:ascii="宋体" w:hAnsi="宋体" w:cs="宋体"/>
                <w:spacing w:val="5"/>
                <w:sz w:val="28"/>
                <w:szCs w:val="28"/>
              </w:rPr>
              <w:t>度病例</w:t>
            </w:r>
          </w:p>
        </w:tc>
        <w:tc>
          <w:tcPr>
            <w:tcW w:w="1671" w:type="dxa"/>
            <w:tcBorders>
              <w:top w:val="single" w:color="000000" w:sz="2" w:space="0"/>
              <w:bottom w:val="single" w:color="000000" w:sz="2" w:space="0"/>
            </w:tcBorders>
            <w:noWrap w:val="0"/>
            <w:vAlign w:val="top"/>
          </w:tcPr>
          <w:p w14:paraId="5578F09F">
            <w:pPr>
              <w:spacing w:line="280" w:lineRule="auto"/>
              <w:rPr>
                <w:rFonts w:ascii="Arial"/>
              </w:rPr>
            </w:pPr>
          </w:p>
          <w:p w14:paraId="057C72D9">
            <w:pPr>
              <w:spacing w:before="91" w:line="184" w:lineRule="auto"/>
              <w:ind w:left="574"/>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.02</w:t>
            </w:r>
          </w:p>
        </w:tc>
        <w:tc>
          <w:tcPr>
            <w:tcW w:w="1650" w:type="dxa"/>
            <w:tcBorders>
              <w:top w:val="single" w:color="000000" w:sz="2" w:space="0"/>
              <w:bottom w:val="single" w:color="000000" w:sz="2" w:space="0"/>
            </w:tcBorders>
            <w:noWrap w:val="0"/>
            <w:vAlign w:val="top"/>
          </w:tcPr>
          <w:p w14:paraId="3DD6C7F6">
            <w:pPr>
              <w:spacing w:line="280" w:lineRule="auto"/>
              <w:rPr>
                <w:rFonts w:ascii="Arial"/>
              </w:rPr>
            </w:pPr>
          </w:p>
          <w:p w14:paraId="3E54ED25">
            <w:pPr>
              <w:spacing w:before="91" w:line="184" w:lineRule="auto"/>
              <w:ind w:left="646"/>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.04</w:t>
            </w:r>
          </w:p>
        </w:tc>
        <w:tc>
          <w:tcPr>
            <w:tcW w:w="1600" w:type="dxa"/>
            <w:tcBorders>
              <w:top w:val="single" w:color="000000" w:sz="2" w:space="0"/>
              <w:bottom w:val="single" w:color="000000" w:sz="2" w:space="0"/>
            </w:tcBorders>
            <w:noWrap w:val="0"/>
            <w:vAlign w:val="top"/>
          </w:tcPr>
          <w:p w14:paraId="5D37B7EF">
            <w:pPr>
              <w:spacing w:line="280" w:lineRule="auto"/>
              <w:rPr>
                <w:rFonts w:ascii="Arial"/>
              </w:rPr>
            </w:pPr>
          </w:p>
          <w:p w14:paraId="7CAB791B">
            <w:pPr>
              <w:spacing w:before="91" w:line="184" w:lineRule="auto"/>
              <w:ind w:left="558"/>
              <w:rPr>
                <w:rFonts w:ascii="宋体" w:hAnsi="宋体" w:cs="宋体"/>
                <w:sz w:val="28"/>
                <w:szCs w:val="28"/>
              </w:rPr>
            </w:pPr>
            <w:r>
              <w:rPr>
                <w:rFonts w:ascii="宋体" w:hAnsi="宋体" w:cs="宋体"/>
                <w:spacing w:val="-4"/>
                <w:sz w:val="28"/>
                <w:szCs w:val="28"/>
              </w:rPr>
              <w:t>0</w:t>
            </w:r>
            <w:r>
              <w:rPr>
                <w:rFonts w:ascii="宋体" w:hAnsi="宋体" w:cs="宋体"/>
                <w:spacing w:val="-2"/>
                <w:sz w:val="28"/>
                <w:szCs w:val="28"/>
              </w:rPr>
              <w:t>.05</w:t>
            </w:r>
          </w:p>
        </w:tc>
      </w:tr>
      <w:tr w14:paraId="5125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3865" w:type="dxa"/>
            <w:tcBorders>
              <w:top w:val="single" w:color="000000" w:sz="2" w:space="0"/>
              <w:bottom w:val="single" w:color="000000" w:sz="2" w:space="0"/>
            </w:tcBorders>
            <w:noWrap w:val="0"/>
            <w:vAlign w:val="top"/>
          </w:tcPr>
          <w:p w14:paraId="3E855DC7">
            <w:pPr>
              <w:spacing w:before="301" w:line="219" w:lineRule="auto"/>
              <w:ind w:left="65"/>
              <w:jc w:val="center"/>
              <w:rPr>
                <w:rFonts w:ascii="宋体" w:hAnsi="宋体" w:cs="宋体"/>
                <w:sz w:val="28"/>
                <w:szCs w:val="28"/>
              </w:rPr>
            </w:pPr>
            <w:r>
              <w:rPr>
                <w:rFonts w:ascii="宋体" w:hAnsi="宋体" w:cs="宋体"/>
                <w:spacing w:val="2"/>
                <w:sz w:val="28"/>
                <w:szCs w:val="28"/>
              </w:rPr>
              <w:t>次要诊断辅助目</w:t>
            </w:r>
            <w:r>
              <w:rPr>
                <w:rFonts w:ascii="宋体" w:hAnsi="宋体" w:cs="宋体"/>
                <w:spacing w:val="1"/>
                <w:sz w:val="28"/>
                <w:szCs w:val="28"/>
              </w:rPr>
              <w:t>录</w:t>
            </w:r>
            <w:r>
              <w:rPr>
                <w:rFonts w:ascii="宋体" w:hAnsi="宋体" w:cs="宋体"/>
                <w:sz w:val="28"/>
                <w:szCs w:val="28"/>
              </w:rPr>
              <w:t>I</w:t>
            </w:r>
            <w:r>
              <w:rPr>
                <w:rFonts w:ascii="宋体" w:hAnsi="宋体" w:cs="宋体"/>
                <w:spacing w:val="1"/>
                <w:sz w:val="28"/>
                <w:szCs w:val="28"/>
              </w:rPr>
              <w:t>-</w:t>
            </w:r>
            <w:r>
              <w:rPr>
                <w:rFonts w:ascii="宋体" w:hAnsi="宋体" w:cs="宋体"/>
                <w:sz w:val="28"/>
                <w:szCs w:val="28"/>
              </w:rPr>
              <w:t>A</w:t>
            </w:r>
            <w:r>
              <w:rPr>
                <w:rFonts w:ascii="宋体" w:hAnsi="宋体" w:cs="宋体"/>
                <w:spacing w:val="1"/>
                <w:sz w:val="28"/>
                <w:szCs w:val="28"/>
              </w:rPr>
              <w:t>级</w:t>
            </w:r>
          </w:p>
        </w:tc>
        <w:tc>
          <w:tcPr>
            <w:tcW w:w="1671" w:type="dxa"/>
            <w:tcBorders>
              <w:top w:val="single" w:color="000000" w:sz="2" w:space="0"/>
              <w:bottom w:val="single" w:color="000000" w:sz="2" w:space="0"/>
            </w:tcBorders>
            <w:noWrap w:val="0"/>
            <w:vAlign w:val="top"/>
          </w:tcPr>
          <w:p w14:paraId="03816F52">
            <w:pPr>
              <w:spacing w:line="279" w:lineRule="auto"/>
              <w:rPr>
                <w:rFonts w:ascii="Arial"/>
              </w:rPr>
            </w:pPr>
          </w:p>
          <w:p w14:paraId="7289F09C">
            <w:pPr>
              <w:spacing w:before="91" w:line="376" w:lineRule="exact"/>
              <w:ind w:left="574"/>
              <w:rPr>
                <w:rFonts w:hint="default" w:ascii="宋体" w:hAnsi="宋体" w:cs="宋体" w:eastAsiaTheme="minorEastAsia"/>
                <w:sz w:val="28"/>
                <w:szCs w:val="28"/>
                <w:lang w:val="en-US" w:eastAsia="zh-CN"/>
              </w:rPr>
            </w:pPr>
            <w:r>
              <w:rPr>
                <w:rFonts w:ascii="宋体" w:hAnsi="宋体" w:cs="宋体"/>
                <w:spacing w:val="7"/>
                <w:position w:val="1"/>
                <w:sz w:val="28"/>
                <w:szCs w:val="28"/>
              </w:rPr>
              <w:t>-</w:t>
            </w:r>
            <w:r>
              <w:rPr>
                <w:rFonts w:ascii="宋体" w:hAnsi="宋体" w:cs="宋体"/>
                <w:spacing w:val="5"/>
                <w:position w:val="1"/>
                <w:sz w:val="28"/>
                <w:szCs w:val="28"/>
              </w:rPr>
              <w:t>0.</w:t>
            </w:r>
            <w:r>
              <w:rPr>
                <w:rFonts w:hint="eastAsia" w:ascii="宋体" w:hAnsi="宋体" w:cs="宋体"/>
                <w:spacing w:val="5"/>
                <w:position w:val="1"/>
                <w:sz w:val="28"/>
                <w:szCs w:val="28"/>
                <w:lang w:val="en-US" w:eastAsia="zh-CN"/>
              </w:rPr>
              <w:t>05</w:t>
            </w:r>
          </w:p>
        </w:tc>
        <w:tc>
          <w:tcPr>
            <w:tcW w:w="1650" w:type="dxa"/>
            <w:tcBorders>
              <w:top w:val="single" w:color="000000" w:sz="2" w:space="0"/>
              <w:bottom w:val="single" w:color="000000" w:sz="2" w:space="0"/>
            </w:tcBorders>
            <w:noWrap w:val="0"/>
            <w:vAlign w:val="top"/>
          </w:tcPr>
          <w:p w14:paraId="59840433">
            <w:pPr>
              <w:spacing w:line="279" w:lineRule="auto"/>
              <w:rPr>
                <w:rFonts w:ascii="Arial"/>
              </w:rPr>
            </w:pPr>
          </w:p>
          <w:p w14:paraId="4DEA34E5">
            <w:pPr>
              <w:spacing w:before="91" w:line="376" w:lineRule="exact"/>
              <w:ind w:left="576"/>
              <w:rPr>
                <w:rFonts w:hint="default" w:ascii="宋体" w:hAnsi="宋体" w:cs="宋体" w:eastAsiaTheme="minorEastAsia"/>
                <w:sz w:val="28"/>
                <w:szCs w:val="28"/>
                <w:lang w:val="en-US" w:eastAsia="zh-CN"/>
              </w:rPr>
            </w:pPr>
            <w:r>
              <w:rPr>
                <w:rFonts w:ascii="宋体" w:hAnsi="宋体" w:cs="宋体"/>
                <w:spacing w:val="2"/>
                <w:position w:val="1"/>
                <w:sz w:val="28"/>
                <w:szCs w:val="28"/>
              </w:rPr>
              <w:t>-0</w:t>
            </w:r>
            <w:r>
              <w:rPr>
                <w:rFonts w:ascii="宋体" w:hAnsi="宋体" w:cs="宋体"/>
                <w:spacing w:val="1"/>
                <w:position w:val="1"/>
                <w:sz w:val="28"/>
                <w:szCs w:val="28"/>
              </w:rPr>
              <w:t>.</w:t>
            </w:r>
            <w:r>
              <w:rPr>
                <w:rFonts w:hint="eastAsia" w:ascii="宋体" w:hAnsi="宋体" w:cs="宋体"/>
                <w:spacing w:val="1"/>
                <w:position w:val="1"/>
                <w:sz w:val="28"/>
                <w:szCs w:val="28"/>
                <w:lang w:val="en-US" w:eastAsia="zh-CN"/>
              </w:rPr>
              <w:t>08</w:t>
            </w:r>
          </w:p>
        </w:tc>
        <w:tc>
          <w:tcPr>
            <w:tcW w:w="1600" w:type="dxa"/>
            <w:tcBorders>
              <w:top w:val="single" w:color="000000" w:sz="2" w:space="0"/>
              <w:bottom w:val="single" w:color="000000" w:sz="2" w:space="0"/>
            </w:tcBorders>
            <w:noWrap w:val="0"/>
            <w:vAlign w:val="top"/>
          </w:tcPr>
          <w:p w14:paraId="0744CC03">
            <w:pPr>
              <w:spacing w:line="280" w:lineRule="auto"/>
              <w:rPr>
                <w:rFonts w:ascii="Arial"/>
              </w:rPr>
            </w:pPr>
          </w:p>
          <w:p w14:paraId="2DFFABFE">
            <w:pPr>
              <w:spacing w:before="91" w:line="375" w:lineRule="exact"/>
              <w:ind w:left="558"/>
              <w:rPr>
                <w:rFonts w:hint="eastAsia" w:ascii="宋体" w:hAnsi="宋体" w:cs="宋体" w:eastAsiaTheme="minorEastAsia"/>
                <w:sz w:val="28"/>
                <w:szCs w:val="28"/>
                <w:lang w:eastAsia="zh-CN"/>
              </w:rPr>
            </w:pPr>
            <w:r>
              <w:rPr>
                <w:rFonts w:ascii="宋体" w:hAnsi="宋体" w:cs="宋体"/>
                <w:spacing w:val="2"/>
                <w:position w:val="1"/>
                <w:sz w:val="28"/>
                <w:szCs w:val="28"/>
              </w:rPr>
              <w:t>-</w:t>
            </w:r>
            <w:r>
              <w:rPr>
                <w:rFonts w:ascii="宋体" w:hAnsi="宋体" w:cs="宋体"/>
                <w:spacing w:val="1"/>
                <w:position w:val="1"/>
                <w:sz w:val="28"/>
                <w:szCs w:val="28"/>
              </w:rPr>
              <w:t>0.</w:t>
            </w:r>
            <w:r>
              <w:rPr>
                <w:rFonts w:hint="eastAsia" w:ascii="宋体" w:hAnsi="宋体" w:cs="宋体"/>
                <w:spacing w:val="1"/>
                <w:position w:val="1"/>
                <w:sz w:val="28"/>
                <w:szCs w:val="28"/>
                <w:lang w:val="en-US" w:eastAsia="zh-CN"/>
              </w:rPr>
              <w:t>1</w:t>
            </w:r>
          </w:p>
        </w:tc>
      </w:tr>
    </w:tbl>
    <w:p w14:paraId="1B074043">
      <w:pPr>
        <w:pStyle w:val="2"/>
        <w:rPr>
          <w:rFonts w:hint="default" w:ascii="仿宋_GB2312" w:hAnsi="仿宋_GB2312" w:eastAsia="仿宋_GB2312" w:cs="仿宋_GB2312"/>
          <w:sz w:val="32"/>
          <w:szCs w:val="32"/>
          <w:lang w:val="en-US" w:eastAsia="zh-CN"/>
        </w:rPr>
      </w:pPr>
    </w:p>
    <w:p w14:paraId="5F9F388F">
      <w:pPr>
        <w:pStyle w:val="2"/>
        <w:rPr>
          <w:rFonts w:hint="eastAsia"/>
          <w:lang w:val="en-US" w:eastAsia="zh-CN"/>
        </w:rPr>
      </w:pPr>
    </w:p>
    <w:p w14:paraId="317F54F1">
      <w:pPr>
        <w:pStyle w:val="2"/>
        <w:rPr>
          <w:rFonts w:hint="eastAsia" w:ascii="方正小标宋简体" w:hAnsi="方正小标宋简体" w:eastAsia="方正小标宋简体" w:cs="方正小标宋简体"/>
          <w:sz w:val="32"/>
          <w:szCs w:val="32"/>
          <w:lang w:val="en-US" w:eastAsia="zh-CN"/>
        </w:rPr>
      </w:pPr>
    </w:p>
    <w:p w14:paraId="3A2F9830">
      <w:pPr>
        <w:pStyle w:val="2"/>
        <w:rPr>
          <w:rFonts w:hint="eastAsia" w:ascii="方正小标宋简体" w:hAnsi="方正小标宋简体" w:eastAsia="方正小标宋简体" w:cs="方正小标宋简体"/>
          <w:sz w:val="32"/>
          <w:szCs w:val="32"/>
          <w:lang w:val="en-US" w:eastAsia="zh-CN"/>
        </w:rPr>
      </w:pPr>
    </w:p>
    <w:p w14:paraId="4A5CCFB2">
      <w:pPr>
        <w:widowControl/>
        <w:kinsoku w:val="0"/>
        <w:autoSpaceDE w:val="0"/>
        <w:autoSpaceDN w:val="0"/>
        <w:adjustRightInd w:val="0"/>
        <w:snapToGrid w:val="0"/>
        <w:spacing w:line="560" w:lineRule="exact"/>
        <w:ind w:right="1125"/>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rPr>
        <w:t>附件</w:t>
      </w:r>
      <w:r>
        <w:rPr>
          <w:rFonts w:hint="eastAsia" w:ascii="仿宋_GB2312" w:hAnsi="仿宋_GB2312" w:eastAsia="仿宋_GB2312" w:cs="仿宋_GB2312"/>
          <w:spacing w:val="-9"/>
          <w:sz w:val="32"/>
          <w:szCs w:val="32"/>
          <w:lang w:val="en-US" w:eastAsia="zh-CN"/>
        </w:rPr>
        <w:t>3</w:t>
      </w:r>
    </w:p>
    <w:p w14:paraId="57530C43">
      <w:pPr>
        <w:spacing w:before="299" w:line="221" w:lineRule="auto"/>
        <w:jc w:val="center"/>
        <w:rPr>
          <w:rFonts w:ascii="宋体" w:hAnsi="宋体" w:cs="宋体"/>
          <w:spacing w:val="3"/>
          <w:sz w:val="28"/>
          <w:szCs w:val="28"/>
        </w:rPr>
      </w:pPr>
      <w:r>
        <w:rPr>
          <w:rFonts w:hint="eastAsia" w:ascii="宋体" w:hAnsi="宋体" w:cs="宋体"/>
          <w:b/>
          <w:bCs/>
          <w:spacing w:val="3"/>
          <w:sz w:val="28"/>
          <w:szCs w:val="28"/>
          <w:lang w:val="en-US" w:eastAsia="zh-CN"/>
        </w:rPr>
        <w:t>年龄辅助分型</w:t>
      </w:r>
      <w:r>
        <w:rPr>
          <w:rFonts w:ascii="宋体" w:hAnsi="宋体" w:cs="宋体"/>
          <w:b/>
          <w:bCs/>
          <w:spacing w:val="3"/>
          <w:sz w:val="28"/>
          <w:szCs w:val="28"/>
        </w:rPr>
        <w:t>加权系数</w:t>
      </w:r>
    </w:p>
    <w:p w14:paraId="6B79B8C2"/>
    <w:p w14:paraId="13B3F525">
      <w:pPr>
        <w:spacing w:line="58" w:lineRule="exact"/>
      </w:pPr>
    </w:p>
    <w:tbl>
      <w:tblPr>
        <w:tblStyle w:val="9"/>
        <w:tblW w:w="87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2246"/>
        <w:gridCol w:w="1903"/>
        <w:gridCol w:w="2065"/>
      </w:tblGrid>
      <w:tr w14:paraId="2DC17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584" w:type="dxa"/>
            <w:tcBorders>
              <w:top w:val="single" w:color="000000" w:sz="2" w:space="0"/>
              <w:bottom w:val="single" w:color="000000" w:sz="2" w:space="0"/>
            </w:tcBorders>
            <w:noWrap w:val="0"/>
            <w:vAlign w:val="top"/>
          </w:tcPr>
          <w:p w14:paraId="4610F3AD">
            <w:pPr>
              <w:spacing w:before="298" w:line="220" w:lineRule="auto"/>
              <w:jc w:val="center"/>
              <w:rPr>
                <w:rFonts w:hint="eastAsia" w:ascii="仿宋" w:hAnsi="仿宋" w:eastAsia="仿宋" w:cs="仿宋"/>
                <w:sz w:val="28"/>
                <w:szCs w:val="28"/>
              </w:rPr>
            </w:pPr>
            <w:r>
              <w:rPr>
                <w:rFonts w:hint="eastAsia" w:ascii="仿宋" w:hAnsi="仿宋" w:eastAsia="仿宋" w:cs="仿宋"/>
                <w:spacing w:val="7"/>
                <w:sz w:val="28"/>
                <w:szCs w:val="28"/>
              </w:rPr>
              <w:t>级别</w:t>
            </w:r>
          </w:p>
        </w:tc>
        <w:tc>
          <w:tcPr>
            <w:tcW w:w="2246" w:type="dxa"/>
            <w:tcBorders>
              <w:top w:val="single" w:color="000000" w:sz="2" w:space="0"/>
              <w:bottom w:val="single" w:color="000000" w:sz="2" w:space="0"/>
            </w:tcBorders>
            <w:noWrap w:val="0"/>
            <w:vAlign w:val="top"/>
          </w:tcPr>
          <w:p w14:paraId="2EE569E1">
            <w:pPr>
              <w:spacing w:before="298" w:line="220" w:lineRule="auto"/>
              <w:jc w:val="center"/>
              <w:rPr>
                <w:rFonts w:hint="eastAsia" w:ascii="仿宋" w:hAnsi="仿宋" w:eastAsia="仿宋" w:cs="仿宋"/>
                <w:sz w:val="28"/>
                <w:szCs w:val="28"/>
              </w:rPr>
            </w:pPr>
            <w:r>
              <w:rPr>
                <w:rFonts w:hint="eastAsia" w:ascii="仿宋" w:hAnsi="仿宋" w:eastAsia="仿宋" w:cs="仿宋"/>
                <w:spacing w:val="2"/>
                <w:sz w:val="28"/>
                <w:szCs w:val="28"/>
              </w:rPr>
              <w:t>一级医院</w:t>
            </w:r>
          </w:p>
        </w:tc>
        <w:tc>
          <w:tcPr>
            <w:tcW w:w="1903" w:type="dxa"/>
            <w:tcBorders>
              <w:top w:val="single" w:color="000000" w:sz="2" w:space="0"/>
              <w:bottom w:val="single" w:color="000000" w:sz="2" w:space="0"/>
            </w:tcBorders>
            <w:noWrap w:val="0"/>
            <w:vAlign w:val="top"/>
          </w:tcPr>
          <w:p w14:paraId="6254BBE1">
            <w:pPr>
              <w:spacing w:before="298" w:line="220" w:lineRule="auto"/>
              <w:jc w:val="center"/>
              <w:rPr>
                <w:rFonts w:hint="eastAsia" w:ascii="仿宋" w:hAnsi="仿宋" w:eastAsia="仿宋" w:cs="仿宋"/>
                <w:sz w:val="28"/>
                <w:szCs w:val="28"/>
              </w:rPr>
            </w:pPr>
            <w:r>
              <w:rPr>
                <w:rFonts w:hint="eastAsia" w:ascii="仿宋" w:hAnsi="仿宋" w:eastAsia="仿宋" w:cs="仿宋"/>
                <w:spacing w:val="2"/>
                <w:sz w:val="28"/>
                <w:szCs w:val="28"/>
              </w:rPr>
              <w:t>二级医院</w:t>
            </w:r>
          </w:p>
        </w:tc>
        <w:tc>
          <w:tcPr>
            <w:tcW w:w="2065" w:type="dxa"/>
            <w:tcBorders>
              <w:top w:val="single" w:color="000000" w:sz="2" w:space="0"/>
              <w:bottom w:val="single" w:color="000000" w:sz="2" w:space="0"/>
            </w:tcBorders>
            <w:noWrap w:val="0"/>
            <w:vAlign w:val="top"/>
          </w:tcPr>
          <w:p w14:paraId="2086E193">
            <w:pPr>
              <w:spacing w:before="298" w:line="220" w:lineRule="auto"/>
              <w:jc w:val="center"/>
              <w:rPr>
                <w:rFonts w:hint="eastAsia" w:ascii="仿宋" w:hAnsi="仿宋" w:eastAsia="仿宋" w:cs="仿宋"/>
                <w:sz w:val="28"/>
                <w:szCs w:val="28"/>
              </w:rPr>
            </w:pPr>
            <w:r>
              <w:rPr>
                <w:rFonts w:hint="eastAsia" w:ascii="仿宋" w:hAnsi="仿宋" w:eastAsia="仿宋" w:cs="仿宋"/>
                <w:spacing w:val="-3"/>
                <w:sz w:val="28"/>
                <w:szCs w:val="28"/>
              </w:rPr>
              <w:t>三</w:t>
            </w:r>
            <w:r>
              <w:rPr>
                <w:rFonts w:hint="eastAsia" w:ascii="仿宋" w:hAnsi="仿宋" w:eastAsia="仿宋" w:cs="仿宋"/>
                <w:spacing w:val="-2"/>
                <w:sz w:val="28"/>
                <w:szCs w:val="28"/>
              </w:rPr>
              <w:t>级医院</w:t>
            </w:r>
          </w:p>
        </w:tc>
      </w:tr>
      <w:tr w14:paraId="44E8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584" w:type="dxa"/>
            <w:tcBorders>
              <w:top w:val="single" w:color="000000" w:sz="2" w:space="0"/>
              <w:bottom w:val="single" w:color="000000" w:sz="2" w:space="0"/>
            </w:tcBorders>
            <w:noWrap w:val="0"/>
            <w:vAlign w:val="top"/>
          </w:tcPr>
          <w:p w14:paraId="1AF074B7">
            <w:pPr>
              <w:spacing w:before="299" w:line="221" w:lineRule="auto"/>
              <w:jc w:val="center"/>
              <w:rPr>
                <w:rFonts w:hint="eastAsia" w:ascii="仿宋" w:hAnsi="仿宋" w:eastAsia="仿宋" w:cs="仿宋"/>
                <w:sz w:val="28"/>
                <w:szCs w:val="28"/>
              </w:rPr>
            </w:pPr>
            <w:r>
              <w:rPr>
                <w:rFonts w:hint="eastAsia" w:ascii="仿宋" w:hAnsi="仿宋" w:eastAsia="仿宋" w:cs="仿宋"/>
                <w:sz w:val="28"/>
                <w:szCs w:val="28"/>
              </w:rPr>
              <w:t>0－28天</w:t>
            </w:r>
          </w:p>
        </w:tc>
        <w:tc>
          <w:tcPr>
            <w:tcW w:w="2246" w:type="dxa"/>
            <w:tcBorders>
              <w:top w:val="single" w:color="000000" w:sz="2" w:space="0"/>
              <w:bottom w:val="single" w:color="000000" w:sz="2" w:space="0"/>
            </w:tcBorders>
            <w:noWrap w:val="0"/>
            <w:vAlign w:val="center"/>
          </w:tcPr>
          <w:p w14:paraId="65601613">
            <w:pPr>
              <w:spacing w:before="91" w:line="184" w:lineRule="auto"/>
              <w:jc w:val="center"/>
              <w:rPr>
                <w:rFonts w:hint="eastAsia" w:ascii="仿宋" w:hAnsi="仿宋" w:eastAsia="仿宋" w:cs="仿宋"/>
                <w:sz w:val="28"/>
                <w:szCs w:val="28"/>
                <w:lang w:eastAsia="zh-CN"/>
              </w:rPr>
            </w:pPr>
            <w:r>
              <w:rPr>
                <w:rFonts w:hint="eastAsia" w:ascii="仿宋" w:hAnsi="仿宋" w:eastAsia="仿宋" w:cs="仿宋"/>
                <w:spacing w:val="-4"/>
                <w:sz w:val="28"/>
                <w:szCs w:val="28"/>
              </w:rPr>
              <w:t>0</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1</w:t>
            </w:r>
          </w:p>
        </w:tc>
        <w:tc>
          <w:tcPr>
            <w:tcW w:w="1903" w:type="dxa"/>
            <w:tcBorders>
              <w:top w:val="single" w:color="000000" w:sz="2" w:space="0"/>
              <w:bottom w:val="single" w:color="000000" w:sz="2" w:space="0"/>
            </w:tcBorders>
            <w:noWrap w:val="0"/>
            <w:vAlign w:val="center"/>
          </w:tcPr>
          <w:p w14:paraId="3C2E8E05">
            <w:pPr>
              <w:spacing w:before="91" w:line="184" w:lineRule="auto"/>
              <w:jc w:val="center"/>
              <w:rPr>
                <w:rFonts w:hint="eastAsia" w:ascii="仿宋" w:hAnsi="仿宋" w:eastAsia="仿宋" w:cs="仿宋"/>
                <w:sz w:val="28"/>
                <w:szCs w:val="28"/>
                <w:lang w:val="en-US" w:eastAsia="zh-CN"/>
              </w:rPr>
            </w:pPr>
            <w:r>
              <w:rPr>
                <w:rFonts w:hint="eastAsia" w:ascii="仿宋" w:hAnsi="仿宋" w:eastAsia="仿宋" w:cs="仿宋"/>
                <w:spacing w:val="-4"/>
                <w:sz w:val="28"/>
                <w:szCs w:val="28"/>
              </w:rPr>
              <w:t>0</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16</w:t>
            </w:r>
          </w:p>
        </w:tc>
        <w:tc>
          <w:tcPr>
            <w:tcW w:w="2065" w:type="dxa"/>
            <w:tcBorders>
              <w:top w:val="single" w:color="000000" w:sz="2" w:space="0"/>
              <w:bottom w:val="single" w:color="000000" w:sz="2" w:space="0"/>
            </w:tcBorders>
            <w:noWrap w:val="0"/>
            <w:vAlign w:val="center"/>
          </w:tcPr>
          <w:p w14:paraId="4606DD3E">
            <w:pPr>
              <w:spacing w:before="91" w:line="184" w:lineRule="auto"/>
              <w:jc w:val="center"/>
              <w:rPr>
                <w:rFonts w:hint="eastAsia" w:ascii="仿宋" w:hAnsi="仿宋" w:eastAsia="仿宋" w:cs="仿宋"/>
                <w:sz w:val="28"/>
                <w:szCs w:val="28"/>
                <w:lang w:eastAsia="zh-CN"/>
              </w:rPr>
            </w:pPr>
            <w:r>
              <w:rPr>
                <w:rFonts w:hint="eastAsia" w:ascii="仿宋" w:hAnsi="仿宋" w:eastAsia="仿宋" w:cs="仿宋"/>
                <w:spacing w:val="-4"/>
                <w:sz w:val="28"/>
                <w:szCs w:val="28"/>
              </w:rPr>
              <w:t>0</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2</w:t>
            </w:r>
          </w:p>
        </w:tc>
      </w:tr>
      <w:tr w14:paraId="20DE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584" w:type="dxa"/>
            <w:tcBorders>
              <w:top w:val="single" w:color="000000" w:sz="2" w:space="0"/>
              <w:bottom w:val="single" w:color="000000" w:sz="2" w:space="0"/>
            </w:tcBorders>
            <w:noWrap w:val="0"/>
            <w:vAlign w:val="top"/>
          </w:tcPr>
          <w:p w14:paraId="4D39807F">
            <w:pPr>
              <w:spacing w:before="299" w:line="221" w:lineRule="auto"/>
              <w:jc w:val="center"/>
              <w:rPr>
                <w:rFonts w:hint="eastAsia" w:ascii="仿宋" w:hAnsi="仿宋" w:eastAsia="仿宋" w:cs="仿宋"/>
                <w:sz w:val="28"/>
                <w:szCs w:val="28"/>
              </w:rPr>
            </w:pPr>
            <w:r>
              <w:rPr>
                <w:rFonts w:hint="eastAsia" w:ascii="仿宋" w:hAnsi="仿宋" w:eastAsia="仿宋" w:cs="仿宋"/>
                <w:sz w:val="28"/>
                <w:szCs w:val="28"/>
              </w:rPr>
              <w:t>29天－1岁前</w:t>
            </w:r>
          </w:p>
        </w:tc>
        <w:tc>
          <w:tcPr>
            <w:tcW w:w="2246" w:type="dxa"/>
            <w:tcBorders>
              <w:top w:val="single" w:color="000000" w:sz="2" w:space="0"/>
              <w:bottom w:val="single" w:color="000000" w:sz="2" w:space="0"/>
            </w:tcBorders>
            <w:noWrap w:val="0"/>
            <w:vAlign w:val="center"/>
          </w:tcPr>
          <w:p w14:paraId="0F312E01">
            <w:pPr>
              <w:spacing w:before="91" w:line="185" w:lineRule="auto"/>
              <w:jc w:val="center"/>
              <w:rPr>
                <w:rFonts w:hint="eastAsia" w:ascii="仿宋" w:hAnsi="仿宋" w:eastAsia="仿宋" w:cs="仿宋"/>
                <w:sz w:val="28"/>
                <w:szCs w:val="28"/>
                <w:lang w:val="en-US" w:eastAsia="zh-CN"/>
              </w:rPr>
            </w:pPr>
            <w:r>
              <w:rPr>
                <w:rFonts w:hint="eastAsia" w:ascii="仿宋" w:hAnsi="仿宋" w:eastAsia="仿宋" w:cs="仿宋"/>
                <w:spacing w:val="-3"/>
                <w:sz w:val="28"/>
                <w:szCs w:val="28"/>
              </w:rPr>
              <w:t>0.</w:t>
            </w:r>
            <w:r>
              <w:rPr>
                <w:rFonts w:hint="eastAsia" w:ascii="仿宋" w:hAnsi="仿宋" w:eastAsia="仿宋" w:cs="仿宋"/>
                <w:spacing w:val="-3"/>
                <w:sz w:val="28"/>
                <w:szCs w:val="28"/>
                <w:lang w:val="en-US" w:eastAsia="zh-CN"/>
              </w:rPr>
              <w:t>05</w:t>
            </w:r>
          </w:p>
        </w:tc>
        <w:tc>
          <w:tcPr>
            <w:tcW w:w="1903" w:type="dxa"/>
            <w:tcBorders>
              <w:top w:val="single" w:color="000000" w:sz="2" w:space="0"/>
              <w:bottom w:val="single" w:color="000000" w:sz="2" w:space="0"/>
            </w:tcBorders>
            <w:noWrap w:val="0"/>
            <w:vAlign w:val="center"/>
          </w:tcPr>
          <w:p w14:paraId="5D306706">
            <w:pPr>
              <w:spacing w:before="91" w:line="185" w:lineRule="auto"/>
              <w:jc w:val="center"/>
              <w:rPr>
                <w:rFonts w:hint="eastAsia" w:ascii="仿宋" w:hAnsi="仿宋" w:eastAsia="仿宋" w:cs="仿宋"/>
                <w:sz w:val="28"/>
                <w:szCs w:val="28"/>
                <w:lang w:val="en-US" w:eastAsia="zh-CN"/>
              </w:rPr>
            </w:pPr>
            <w:r>
              <w:rPr>
                <w:rFonts w:hint="eastAsia" w:ascii="仿宋" w:hAnsi="仿宋" w:eastAsia="仿宋" w:cs="仿宋"/>
                <w:spacing w:val="-4"/>
                <w:sz w:val="28"/>
                <w:szCs w:val="28"/>
              </w:rPr>
              <w:t>0</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08</w:t>
            </w:r>
          </w:p>
        </w:tc>
        <w:tc>
          <w:tcPr>
            <w:tcW w:w="2065" w:type="dxa"/>
            <w:tcBorders>
              <w:top w:val="single" w:color="000000" w:sz="2" w:space="0"/>
              <w:bottom w:val="single" w:color="000000" w:sz="2" w:space="0"/>
            </w:tcBorders>
            <w:noWrap w:val="0"/>
            <w:vAlign w:val="center"/>
          </w:tcPr>
          <w:p w14:paraId="64D64320">
            <w:pPr>
              <w:spacing w:before="91" w:line="184" w:lineRule="auto"/>
              <w:jc w:val="center"/>
              <w:rPr>
                <w:rFonts w:hint="eastAsia" w:ascii="仿宋" w:hAnsi="仿宋" w:eastAsia="仿宋" w:cs="仿宋"/>
                <w:sz w:val="28"/>
                <w:szCs w:val="28"/>
                <w:lang w:val="en-US" w:eastAsia="zh-CN"/>
              </w:rPr>
            </w:pPr>
            <w:r>
              <w:rPr>
                <w:rFonts w:hint="eastAsia" w:ascii="仿宋" w:hAnsi="仿宋" w:eastAsia="仿宋" w:cs="仿宋"/>
                <w:spacing w:val="-3"/>
                <w:sz w:val="28"/>
                <w:szCs w:val="28"/>
              </w:rPr>
              <w:t>0.</w:t>
            </w:r>
            <w:r>
              <w:rPr>
                <w:rFonts w:hint="eastAsia" w:ascii="仿宋" w:hAnsi="仿宋" w:eastAsia="仿宋" w:cs="仿宋"/>
                <w:spacing w:val="-3"/>
                <w:sz w:val="28"/>
                <w:szCs w:val="28"/>
                <w:lang w:val="en-US" w:eastAsia="zh-CN"/>
              </w:rPr>
              <w:t>1</w:t>
            </w:r>
          </w:p>
        </w:tc>
      </w:tr>
      <w:tr w14:paraId="69609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584" w:type="dxa"/>
            <w:tcBorders>
              <w:top w:val="single" w:color="000000" w:sz="2" w:space="0"/>
              <w:bottom w:val="single" w:color="000000" w:sz="2" w:space="0"/>
            </w:tcBorders>
            <w:noWrap w:val="0"/>
            <w:vAlign w:val="top"/>
          </w:tcPr>
          <w:p w14:paraId="0F49D68E">
            <w:pPr>
              <w:spacing w:before="289" w:line="220" w:lineRule="auto"/>
              <w:jc w:val="cente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14</w:t>
            </w:r>
            <w:r>
              <w:rPr>
                <w:rFonts w:hint="eastAsia" w:ascii="仿宋" w:hAnsi="仿宋" w:eastAsia="仿宋" w:cs="仿宋"/>
                <w:sz w:val="28"/>
                <w:szCs w:val="28"/>
              </w:rPr>
              <w:t>岁</w:t>
            </w:r>
          </w:p>
        </w:tc>
        <w:tc>
          <w:tcPr>
            <w:tcW w:w="2246" w:type="dxa"/>
            <w:tcBorders>
              <w:top w:val="single" w:color="000000" w:sz="2" w:space="0"/>
              <w:bottom w:val="single" w:color="000000" w:sz="2" w:space="0"/>
            </w:tcBorders>
            <w:noWrap w:val="0"/>
            <w:vAlign w:val="center"/>
          </w:tcPr>
          <w:p w14:paraId="601235B4">
            <w:pPr>
              <w:spacing w:before="91" w:line="184" w:lineRule="auto"/>
              <w:jc w:val="center"/>
              <w:rPr>
                <w:rFonts w:hint="eastAsia" w:ascii="仿宋" w:hAnsi="仿宋" w:eastAsia="仿宋" w:cs="仿宋"/>
                <w:sz w:val="28"/>
                <w:szCs w:val="28"/>
                <w:lang w:eastAsia="zh-CN"/>
              </w:rPr>
            </w:pPr>
            <w:r>
              <w:rPr>
                <w:rFonts w:hint="eastAsia" w:ascii="仿宋" w:hAnsi="仿宋" w:eastAsia="仿宋" w:cs="仿宋"/>
                <w:spacing w:val="-4"/>
                <w:sz w:val="28"/>
                <w:szCs w:val="28"/>
              </w:rPr>
              <w:t>0</w:t>
            </w:r>
            <w:r>
              <w:rPr>
                <w:rFonts w:hint="eastAsia" w:ascii="仿宋" w:hAnsi="仿宋" w:eastAsia="仿宋" w:cs="仿宋"/>
                <w:spacing w:val="-2"/>
                <w:sz w:val="28"/>
                <w:szCs w:val="28"/>
              </w:rPr>
              <w:t>.0</w:t>
            </w:r>
            <w:r>
              <w:rPr>
                <w:rFonts w:hint="eastAsia" w:ascii="仿宋" w:hAnsi="仿宋" w:eastAsia="仿宋" w:cs="仿宋"/>
                <w:spacing w:val="-2"/>
                <w:sz w:val="28"/>
                <w:szCs w:val="28"/>
                <w:lang w:val="en-US" w:eastAsia="zh-CN"/>
              </w:rPr>
              <w:t>2</w:t>
            </w:r>
          </w:p>
        </w:tc>
        <w:tc>
          <w:tcPr>
            <w:tcW w:w="1903" w:type="dxa"/>
            <w:tcBorders>
              <w:top w:val="single" w:color="000000" w:sz="2" w:space="0"/>
              <w:bottom w:val="single" w:color="000000" w:sz="2" w:space="0"/>
            </w:tcBorders>
            <w:noWrap w:val="0"/>
            <w:vAlign w:val="center"/>
          </w:tcPr>
          <w:p w14:paraId="24563F4A">
            <w:pPr>
              <w:spacing w:before="91" w:line="184" w:lineRule="auto"/>
              <w:jc w:val="center"/>
              <w:rPr>
                <w:rFonts w:hint="eastAsia" w:ascii="仿宋" w:hAnsi="仿宋" w:eastAsia="仿宋" w:cs="仿宋"/>
                <w:sz w:val="28"/>
                <w:szCs w:val="28"/>
                <w:lang w:eastAsia="zh-CN"/>
              </w:rPr>
            </w:pPr>
            <w:r>
              <w:rPr>
                <w:rFonts w:hint="eastAsia" w:ascii="仿宋" w:hAnsi="仿宋" w:eastAsia="仿宋" w:cs="仿宋"/>
                <w:spacing w:val="-4"/>
                <w:sz w:val="28"/>
                <w:szCs w:val="28"/>
              </w:rPr>
              <w:t>0</w:t>
            </w:r>
            <w:r>
              <w:rPr>
                <w:rFonts w:hint="eastAsia" w:ascii="仿宋" w:hAnsi="仿宋" w:eastAsia="仿宋" w:cs="仿宋"/>
                <w:spacing w:val="-2"/>
                <w:sz w:val="28"/>
                <w:szCs w:val="28"/>
              </w:rPr>
              <w:t>.0</w:t>
            </w:r>
            <w:r>
              <w:rPr>
                <w:rFonts w:hint="eastAsia" w:ascii="仿宋" w:hAnsi="仿宋" w:eastAsia="仿宋" w:cs="仿宋"/>
                <w:spacing w:val="-2"/>
                <w:sz w:val="28"/>
                <w:szCs w:val="28"/>
                <w:lang w:val="en-US" w:eastAsia="zh-CN"/>
              </w:rPr>
              <w:t>4</w:t>
            </w:r>
          </w:p>
        </w:tc>
        <w:tc>
          <w:tcPr>
            <w:tcW w:w="2065" w:type="dxa"/>
            <w:tcBorders>
              <w:top w:val="single" w:color="000000" w:sz="2" w:space="0"/>
              <w:bottom w:val="single" w:color="000000" w:sz="2" w:space="0"/>
            </w:tcBorders>
            <w:noWrap w:val="0"/>
            <w:vAlign w:val="center"/>
          </w:tcPr>
          <w:p w14:paraId="489B60A0">
            <w:pPr>
              <w:spacing w:before="91" w:line="185" w:lineRule="auto"/>
              <w:jc w:val="center"/>
              <w:rPr>
                <w:rFonts w:hint="eastAsia" w:ascii="仿宋" w:hAnsi="仿宋" w:eastAsia="仿宋" w:cs="仿宋"/>
                <w:sz w:val="28"/>
                <w:szCs w:val="28"/>
                <w:lang w:eastAsia="zh-CN"/>
              </w:rPr>
            </w:pPr>
            <w:r>
              <w:rPr>
                <w:rFonts w:hint="eastAsia" w:ascii="仿宋" w:hAnsi="仿宋" w:eastAsia="仿宋" w:cs="仿宋"/>
                <w:spacing w:val="-3"/>
                <w:sz w:val="28"/>
                <w:szCs w:val="28"/>
              </w:rPr>
              <w:t>0.</w:t>
            </w:r>
            <w:r>
              <w:rPr>
                <w:rFonts w:hint="eastAsia" w:ascii="仿宋" w:hAnsi="仿宋" w:eastAsia="仿宋" w:cs="仿宋"/>
                <w:spacing w:val="-3"/>
                <w:sz w:val="28"/>
                <w:szCs w:val="28"/>
                <w:lang w:val="en-US" w:eastAsia="zh-CN"/>
              </w:rPr>
              <w:t>05</w:t>
            </w:r>
          </w:p>
        </w:tc>
      </w:tr>
      <w:tr w14:paraId="4D7FD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2584" w:type="dxa"/>
            <w:tcBorders>
              <w:top w:val="single" w:color="000000" w:sz="2" w:space="0"/>
              <w:bottom w:val="single" w:color="000000" w:sz="2" w:space="0"/>
            </w:tcBorders>
            <w:noWrap w:val="0"/>
            <w:vAlign w:val="top"/>
          </w:tcPr>
          <w:p w14:paraId="66BF0F2A">
            <w:pPr>
              <w:spacing w:before="300" w:line="219" w:lineRule="auto"/>
              <w:jc w:val="center"/>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5</w:t>
            </w:r>
            <w:r>
              <w:rPr>
                <w:rFonts w:hint="eastAsia" w:ascii="仿宋" w:hAnsi="仿宋" w:eastAsia="仿宋" w:cs="仿宋"/>
                <w:sz w:val="28"/>
                <w:szCs w:val="28"/>
              </w:rPr>
              <w:t>岁及以上</w:t>
            </w:r>
          </w:p>
        </w:tc>
        <w:tc>
          <w:tcPr>
            <w:tcW w:w="2246" w:type="dxa"/>
            <w:tcBorders>
              <w:top w:val="single" w:color="000000" w:sz="2" w:space="0"/>
              <w:bottom w:val="single" w:color="000000" w:sz="2" w:space="0"/>
            </w:tcBorders>
            <w:noWrap w:val="0"/>
            <w:vAlign w:val="center"/>
          </w:tcPr>
          <w:p w14:paraId="1282EF88">
            <w:pPr>
              <w:spacing w:before="91" w:line="377" w:lineRule="exact"/>
              <w:jc w:val="center"/>
              <w:rPr>
                <w:rFonts w:hint="eastAsia" w:ascii="仿宋" w:hAnsi="仿宋" w:eastAsia="仿宋" w:cs="仿宋"/>
                <w:sz w:val="28"/>
                <w:szCs w:val="28"/>
                <w:lang w:val="en-US" w:eastAsia="zh-CN"/>
              </w:rPr>
            </w:pPr>
            <w:r>
              <w:rPr>
                <w:rFonts w:hint="eastAsia" w:ascii="仿宋" w:hAnsi="仿宋" w:eastAsia="仿宋" w:cs="仿宋"/>
                <w:spacing w:val="7"/>
                <w:position w:val="1"/>
                <w:sz w:val="28"/>
                <w:szCs w:val="28"/>
                <w:lang w:val="en-US" w:eastAsia="zh-CN"/>
              </w:rPr>
              <w:t>0.05</w:t>
            </w:r>
          </w:p>
        </w:tc>
        <w:tc>
          <w:tcPr>
            <w:tcW w:w="1903" w:type="dxa"/>
            <w:tcBorders>
              <w:top w:val="single" w:color="000000" w:sz="2" w:space="0"/>
              <w:bottom w:val="single" w:color="000000" w:sz="2" w:space="0"/>
            </w:tcBorders>
            <w:noWrap w:val="0"/>
            <w:vAlign w:val="center"/>
          </w:tcPr>
          <w:p w14:paraId="0D23FF67">
            <w:pPr>
              <w:spacing w:before="91" w:line="377" w:lineRule="exact"/>
              <w:jc w:val="center"/>
              <w:rPr>
                <w:rFonts w:hint="eastAsia" w:ascii="仿宋" w:hAnsi="仿宋" w:eastAsia="仿宋" w:cs="仿宋"/>
                <w:sz w:val="28"/>
                <w:szCs w:val="28"/>
                <w:lang w:val="en-US" w:eastAsia="zh-CN"/>
              </w:rPr>
            </w:pPr>
            <w:r>
              <w:rPr>
                <w:rFonts w:hint="eastAsia" w:ascii="仿宋" w:hAnsi="仿宋" w:eastAsia="仿宋" w:cs="仿宋"/>
                <w:spacing w:val="2"/>
                <w:position w:val="1"/>
                <w:sz w:val="28"/>
                <w:szCs w:val="28"/>
                <w:lang w:val="en-US" w:eastAsia="zh-CN"/>
              </w:rPr>
              <w:t>0.08</w:t>
            </w:r>
          </w:p>
        </w:tc>
        <w:tc>
          <w:tcPr>
            <w:tcW w:w="2065" w:type="dxa"/>
            <w:tcBorders>
              <w:top w:val="single" w:color="000000" w:sz="2" w:space="0"/>
              <w:bottom w:val="single" w:color="000000" w:sz="2" w:space="0"/>
            </w:tcBorders>
            <w:noWrap w:val="0"/>
            <w:vAlign w:val="center"/>
          </w:tcPr>
          <w:p w14:paraId="59910977">
            <w:pPr>
              <w:spacing w:before="91" w:line="375" w:lineRule="exact"/>
              <w:jc w:val="center"/>
              <w:rPr>
                <w:rFonts w:hint="eastAsia" w:ascii="仿宋" w:hAnsi="仿宋" w:eastAsia="仿宋" w:cs="仿宋"/>
                <w:sz w:val="28"/>
                <w:szCs w:val="28"/>
                <w:lang w:val="en-US" w:eastAsia="zh-CN"/>
              </w:rPr>
            </w:pPr>
            <w:r>
              <w:rPr>
                <w:rFonts w:hint="eastAsia" w:ascii="仿宋" w:hAnsi="仿宋" w:eastAsia="仿宋" w:cs="仿宋"/>
                <w:spacing w:val="-1"/>
                <w:position w:val="1"/>
                <w:sz w:val="28"/>
                <w:szCs w:val="28"/>
                <w:lang w:val="en-US" w:eastAsia="zh-CN"/>
              </w:rPr>
              <w:t>0.1</w:t>
            </w:r>
          </w:p>
        </w:tc>
      </w:tr>
    </w:tbl>
    <w:p w14:paraId="637BE713">
      <w:pPr>
        <w:pStyle w:val="2"/>
        <w:rPr>
          <w:rFonts w:hint="eastAsia" w:ascii="方正小标宋简体" w:hAnsi="方正小标宋简体" w:eastAsia="方正小标宋简体" w:cs="方正小标宋简体"/>
          <w:sz w:val="32"/>
          <w:szCs w:val="32"/>
          <w:lang w:val="en-US" w:eastAsia="zh-CN"/>
        </w:rPr>
      </w:pPr>
    </w:p>
    <w:p w14:paraId="413E70AB">
      <w:pPr>
        <w:pStyle w:val="2"/>
        <w:ind w:firstLine="1600" w:firstLineChars="500"/>
        <w:rPr>
          <w:rFonts w:hint="eastAsia" w:ascii="仿宋_GB2312" w:hAnsi="仿宋_GB2312" w:eastAsia="仿宋_GB2312" w:cs="仿宋_GB2312"/>
          <w:kern w:val="2"/>
          <w:sz w:val="32"/>
          <w:szCs w:val="32"/>
          <w:lang w:val="en-US" w:eastAsia="zh-CN" w:bidi="ar-SA"/>
        </w:rPr>
      </w:pPr>
    </w:p>
    <w:p w14:paraId="277EB9C1">
      <w:pPr>
        <w:pStyle w:val="2"/>
        <w:rPr>
          <w:rFonts w:hint="eastAsia" w:ascii="仿宋_GB2312" w:hAnsi="仿宋_GB2312" w:eastAsia="仿宋_GB2312" w:cs="仿宋_GB2312"/>
          <w:kern w:val="2"/>
          <w:sz w:val="32"/>
          <w:szCs w:val="32"/>
          <w:lang w:val="en-US" w:eastAsia="zh-CN" w:bidi="ar-SA"/>
        </w:rPr>
      </w:pPr>
    </w:p>
    <w:p w14:paraId="5AD12E32">
      <w:pPr>
        <w:pStyle w:val="2"/>
        <w:rPr>
          <w:rFonts w:hint="eastAsia" w:ascii="仿宋_GB2312" w:hAnsi="仿宋_GB2312" w:eastAsia="仿宋_GB2312" w:cs="仿宋_GB2312"/>
          <w:kern w:val="2"/>
          <w:sz w:val="32"/>
          <w:szCs w:val="32"/>
          <w:lang w:val="en-US" w:eastAsia="zh-CN" w:bidi="ar-SA"/>
        </w:rPr>
      </w:pPr>
    </w:p>
    <w:p w14:paraId="5532EA81">
      <w:pPr>
        <w:pStyle w:val="2"/>
        <w:rPr>
          <w:rFonts w:hint="eastAsia" w:ascii="仿宋_GB2312" w:hAnsi="仿宋_GB2312" w:eastAsia="仿宋_GB2312" w:cs="仿宋_GB2312"/>
          <w:kern w:val="2"/>
          <w:sz w:val="32"/>
          <w:szCs w:val="32"/>
          <w:lang w:val="en-US" w:eastAsia="zh-CN" w:bidi="ar-SA"/>
        </w:rPr>
      </w:pPr>
    </w:p>
    <w:p w14:paraId="01C98980">
      <w:pPr>
        <w:pStyle w:val="2"/>
        <w:rPr>
          <w:rFonts w:hint="eastAsia" w:ascii="仿宋_GB2312" w:hAnsi="仿宋_GB2312" w:eastAsia="仿宋_GB2312" w:cs="仿宋_GB2312"/>
          <w:kern w:val="2"/>
          <w:sz w:val="32"/>
          <w:szCs w:val="32"/>
          <w:lang w:val="en-US" w:eastAsia="zh-CN" w:bidi="ar-SA"/>
        </w:rPr>
      </w:pPr>
    </w:p>
    <w:p w14:paraId="39C655A2">
      <w:pPr>
        <w:pStyle w:val="2"/>
        <w:rPr>
          <w:rFonts w:hint="eastAsia" w:ascii="仿宋_GB2312" w:hAnsi="仿宋_GB2312" w:eastAsia="仿宋_GB2312" w:cs="仿宋_GB2312"/>
          <w:kern w:val="2"/>
          <w:sz w:val="32"/>
          <w:szCs w:val="32"/>
          <w:lang w:val="en-US" w:eastAsia="zh-CN" w:bidi="ar-SA"/>
        </w:rPr>
      </w:pPr>
    </w:p>
    <w:p w14:paraId="5092FB3E">
      <w:pPr>
        <w:pStyle w:val="2"/>
        <w:rPr>
          <w:rFonts w:hint="eastAsia" w:ascii="仿宋_GB2312" w:hAnsi="仿宋_GB2312" w:eastAsia="仿宋_GB2312" w:cs="仿宋_GB2312"/>
          <w:kern w:val="2"/>
          <w:sz w:val="32"/>
          <w:szCs w:val="32"/>
          <w:lang w:val="en-US" w:eastAsia="zh-CN" w:bidi="ar-SA"/>
        </w:rPr>
      </w:pPr>
    </w:p>
    <w:p w14:paraId="07E73632">
      <w:pPr>
        <w:widowControl/>
        <w:kinsoku w:val="0"/>
        <w:autoSpaceDE w:val="0"/>
        <w:autoSpaceDN w:val="0"/>
        <w:adjustRightInd w:val="0"/>
        <w:snapToGrid w:val="0"/>
        <w:spacing w:line="560" w:lineRule="exact"/>
        <w:ind w:right="1125"/>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rPr>
        <w:t>附件</w:t>
      </w:r>
      <w:r>
        <w:rPr>
          <w:rFonts w:hint="eastAsia" w:ascii="仿宋_GB2312" w:hAnsi="仿宋_GB2312" w:eastAsia="仿宋_GB2312" w:cs="仿宋_GB2312"/>
          <w:spacing w:val="-9"/>
          <w:sz w:val="32"/>
          <w:szCs w:val="32"/>
          <w:lang w:val="en-US" w:eastAsia="zh-CN"/>
        </w:rPr>
        <w:t>4</w:t>
      </w:r>
    </w:p>
    <w:p w14:paraId="5DD5E32D">
      <w:pPr>
        <w:spacing w:before="299" w:line="221" w:lineRule="auto"/>
        <w:jc w:val="center"/>
        <w:rPr>
          <w:rFonts w:hint="eastAsia" w:ascii="宋体" w:hAnsi="宋体" w:cs="宋体"/>
          <w:b/>
          <w:bCs/>
          <w:spacing w:val="3"/>
          <w:sz w:val="28"/>
          <w:szCs w:val="28"/>
          <w:lang w:val="en-US" w:eastAsia="zh-CN"/>
        </w:rPr>
      </w:pPr>
      <w:r>
        <w:rPr>
          <w:rFonts w:hint="eastAsia" w:ascii="宋体" w:hAnsi="宋体" w:cs="宋体"/>
          <w:b/>
          <w:bCs/>
          <w:spacing w:val="3"/>
          <w:sz w:val="28"/>
          <w:szCs w:val="28"/>
          <w:lang w:val="en-US" w:eastAsia="zh-CN"/>
        </w:rPr>
        <w:t>辅助分型次要诊断表</w:t>
      </w:r>
    </w:p>
    <w:tbl>
      <w:tblPr>
        <w:tblStyle w:val="9"/>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5"/>
        <w:gridCol w:w="6135"/>
      </w:tblGrid>
      <w:tr w14:paraId="7BC4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8220" w:type="dxa"/>
            <w:gridSpan w:val="2"/>
            <w:tcBorders>
              <w:top w:val="nil"/>
              <w:left w:val="nil"/>
              <w:bottom w:val="nil"/>
              <w:right w:val="nil"/>
            </w:tcBorders>
            <w:shd w:val="clear" w:color="auto" w:fill="auto"/>
            <w:vAlign w:val="top"/>
          </w:tcPr>
          <w:p w14:paraId="122BF6B9">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Style w:val="11"/>
                <w:rFonts w:hint="eastAsia" w:ascii="仿宋" w:hAnsi="仿宋" w:eastAsia="仿宋" w:cs="仿宋"/>
                <w:sz w:val="28"/>
                <w:szCs w:val="28"/>
                <w:lang w:val="en-US" w:eastAsia="zh-CN" w:bidi="ar"/>
              </w:rPr>
              <w:t>一、功能衰竭、休克、脓毒症</w:t>
            </w:r>
          </w:p>
        </w:tc>
      </w:tr>
      <w:tr w14:paraId="7045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120A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1"/>
                <w:rFonts w:hint="eastAsia" w:ascii="仿宋" w:hAnsi="仿宋" w:eastAsia="仿宋" w:cs="仿宋"/>
                <w:sz w:val="28"/>
                <w:szCs w:val="28"/>
                <w:lang w:val="en-US" w:eastAsia="zh-CN" w:bidi="ar"/>
              </w:rPr>
              <w:t>疾病编码</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B9271B">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1"/>
                <w:rFonts w:hint="eastAsia" w:ascii="仿宋" w:hAnsi="仿宋" w:eastAsia="仿宋" w:cs="仿宋"/>
                <w:sz w:val="28"/>
                <w:szCs w:val="28"/>
                <w:lang w:val="en-US" w:eastAsia="zh-CN" w:bidi="ar"/>
              </w:rPr>
              <w:t>疾病名称</w:t>
            </w:r>
          </w:p>
        </w:tc>
      </w:tr>
      <w:tr w14:paraId="0639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5134D8D6">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1C12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功能衰竭</w:t>
            </w:r>
          </w:p>
        </w:tc>
      </w:tr>
      <w:tr w14:paraId="743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B4DF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I50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C120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心力衰竭</w:t>
            </w:r>
          </w:p>
        </w:tc>
      </w:tr>
      <w:tr w14:paraId="3367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6205B">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I97.100x004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3FC8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手术后心力衰竭伴肺水肿</w:t>
            </w:r>
          </w:p>
        </w:tc>
      </w:tr>
      <w:tr w14:paraId="40DE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6A0E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I97.101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85F8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瓣膜置换术后心脏功能衰竭</w:t>
            </w:r>
          </w:p>
        </w:tc>
      </w:tr>
      <w:tr w14:paraId="1D6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37B8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I97.102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A6F27">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心脏手术后心力衰竭</w:t>
            </w:r>
          </w:p>
        </w:tc>
      </w:tr>
      <w:tr w14:paraId="672E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8A61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J96</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3CF7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呼吸衰竭</w:t>
            </w:r>
          </w:p>
        </w:tc>
      </w:tr>
      <w:tr w14:paraId="2908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E5EA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N17</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61A7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急性肾衰竭</w:t>
            </w:r>
          </w:p>
        </w:tc>
      </w:tr>
      <w:tr w14:paraId="6EDB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23E6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N18.902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274A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慢性肾衰竭</w:t>
            </w:r>
          </w:p>
        </w:tc>
      </w:tr>
      <w:tr w14:paraId="447C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80E27">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N19.x00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A962A">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肾衰竭</w:t>
            </w:r>
          </w:p>
        </w:tc>
      </w:tr>
      <w:tr w14:paraId="66BA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FEF8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K72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8FB11">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肝衰竭</w:t>
            </w:r>
          </w:p>
        </w:tc>
      </w:tr>
      <w:tr w14:paraId="01CC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3839A">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O26.602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9A62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妊娠合并肝功能衰竭</w:t>
            </w:r>
          </w:p>
        </w:tc>
      </w:tr>
      <w:tr w14:paraId="319B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356F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T86.401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6668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移植肝功能衰竭</w:t>
            </w:r>
          </w:p>
        </w:tc>
      </w:tr>
      <w:tr w14:paraId="1269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89E0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R68.800x001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7E8FA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多脏器功能衰竭</w:t>
            </w:r>
          </w:p>
        </w:tc>
      </w:tr>
      <w:tr w14:paraId="0BFA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772A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G93.900x001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A11D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脑干功能衰竭</w:t>
            </w:r>
          </w:p>
        </w:tc>
      </w:tr>
      <w:tr w14:paraId="39E2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B9F2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P28.500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CA93C">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新生儿呼吸衰竭</w:t>
            </w:r>
          </w:p>
        </w:tc>
      </w:tr>
      <w:tr w14:paraId="06FB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94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P29.800x901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4B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新生儿循环衰竭</w:t>
            </w:r>
          </w:p>
        </w:tc>
      </w:tr>
      <w:tr w14:paraId="725C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9F3B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P29.000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2F16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新生儿心力衰竭</w:t>
            </w:r>
          </w:p>
        </w:tc>
      </w:tr>
      <w:tr w14:paraId="397B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9DFE8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P96.000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12220">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先天性肾衰竭</w:t>
            </w:r>
          </w:p>
        </w:tc>
      </w:tr>
      <w:tr w14:paraId="1C30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7C1B72F4">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6430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休克</w:t>
            </w:r>
          </w:p>
        </w:tc>
      </w:tr>
      <w:tr w14:paraId="6DBA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B246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A48.300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6D09A">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中毒性休克综合征</w:t>
            </w:r>
          </w:p>
        </w:tc>
      </w:tr>
      <w:tr w14:paraId="2E0E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31BBA">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J80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484F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成人型呼吸窘迫综合征</w:t>
            </w:r>
          </w:p>
        </w:tc>
      </w:tr>
      <w:tr w14:paraId="4327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C446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O08.3</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32F5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流产、异位妊娠和葡萄胎妊娠后的休克</w:t>
            </w:r>
          </w:p>
        </w:tc>
      </w:tr>
      <w:tr w14:paraId="52E2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3452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O75.1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0C48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产程和分娩期间或以后休克</w:t>
            </w:r>
          </w:p>
        </w:tc>
      </w:tr>
      <w:tr w14:paraId="690F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0D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P96.804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32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新生儿休克</w:t>
            </w:r>
          </w:p>
        </w:tc>
      </w:tr>
      <w:tr w14:paraId="473B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8D12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R57.000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BA03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心源性休克</w:t>
            </w:r>
          </w:p>
        </w:tc>
      </w:tr>
      <w:tr w14:paraId="351A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0EB5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R57.100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DBC4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血容量不足性休克</w:t>
            </w:r>
          </w:p>
        </w:tc>
      </w:tr>
      <w:tr w14:paraId="3525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FB13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R57.101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C0FB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失血性休克</w:t>
            </w:r>
          </w:p>
        </w:tc>
      </w:tr>
      <w:tr w14:paraId="50B2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9B913">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R57.200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58B2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脓毒性休克</w:t>
            </w:r>
          </w:p>
        </w:tc>
      </w:tr>
      <w:tr w14:paraId="0EAC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25107">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T78.000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388A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有害食物反应引起的过敏性休克</w:t>
            </w:r>
          </w:p>
        </w:tc>
      </w:tr>
      <w:tr w14:paraId="262F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8D90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T78.200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DD52A">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过敏性休克</w:t>
            </w:r>
          </w:p>
        </w:tc>
      </w:tr>
      <w:tr w14:paraId="176B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0306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T79.400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360A0">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创伤性休克</w:t>
            </w:r>
          </w:p>
        </w:tc>
      </w:tr>
      <w:tr w14:paraId="23E5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01CD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R57.8</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59CC3">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其他休克</w:t>
            </w:r>
          </w:p>
        </w:tc>
      </w:tr>
      <w:tr w14:paraId="4C82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860D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R57.900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6055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休克</w:t>
            </w:r>
          </w:p>
        </w:tc>
      </w:tr>
      <w:tr w14:paraId="2206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D903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T80.500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C528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血清引起的过敏性休克</w:t>
            </w:r>
          </w:p>
        </w:tc>
      </w:tr>
      <w:tr w14:paraId="7F5D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CEB57">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A40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2BB1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链球菌性脓毒症</w:t>
            </w:r>
          </w:p>
        </w:tc>
      </w:tr>
      <w:tr w14:paraId="44ED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5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A41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D313B">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其他脓毒症</w:t>
            </w:r>
          </w:p>
        </w:tc>
      </w:tr>
      <w:tr w14:paraId="2E7F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B1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P36</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4BEDA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新生儿细菌性脓毒症</w:t>
            </w:r>
          </w:p>
        </w:tc>
      </w:tr>
      <w:tr w14:paraId="7CD7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220" w:type="dxa"/>
            <w:gridSpan w:val="2"/>
            <w:tcBorders>
              <w:top w:val="nil"/>
              <w:left w:val="nil"/>
              <w:bottom w:val="nil"/>
              <w:right w:val="nil"/>
            </w:tcBorders>
            <w:shd w:val="clear" w:color="auto" w:fill="auto"/>
            <w:vAlign w:val="top"/>
          </w:tcPr>
          <w:p w14:paraId="57FC7E76">
            <w:pPr>
              <w:keepNext w:val="0"/>
              <w:keepLines w:val="0"/>
              <w:widowControl/>
              <w:suppressLineNumbers w:val="0"/>
              <w:ind w:firstLineChars="200"/>
              <w:jc w:val="left"/>
              <w:textAlignment w:val="top"/>
              <w:rPr>
                <w:rStyle w:val="11"/>
                <w:rFonts w:hint="eastAsia" w:ascii="仿宋" w:hAnsi="仿宋" w:eastAsia="仿宋" w:cs="仿宋"/>
                <w:sz w:val="28"/>
                <w:szCs w:val="28"/>
                <w:lang w:val="en-US" w:eastAsia="zh-CN" w:bidi="ar"/>
              </w:rPr>
            </w:pPr>
          </w:p>
          <w:p w14:paraId="798D7865">
            <w:pPr>
              <w:keepNext w:val="0"/>
              <w:keepLines w:val="0"/>
              <w:widowControl/>
              <w:suppressLineNumbers w:val="0"/>
              <w:ind w:firstLineChars="200"/>
              <w:jc w:val="left"/>
              <w:textAlignment w:val="top"/>
              <w:rPr>
                <w:rStyle w:val="11"/>
                <w:rFonts w:hint="eastAsia" w:ascii="仿宋" w:hAnsi="仿宋" w:eastAsia="仿宋" w:cs="仿宋"/>
                <w:sz w:val="28"/>
                <w:szCs w:val="28"/>
                <w:lang w:val="en-US" w:eastAsia="zh-CN" w:bidi="ar"/>
              </w:rPr>
            </w:pPr>
          </w:p>
          <w:p w14:paraId="73EAD883">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Style w:val="11"/>
                <w:rFonts w:hint="eastAsia" w:ascii="仿宋" w:hAnsi="仿宋" w:eastAsia="仿宋" w:cs="仿宋"/>
                <w:sz w:val="28"/>
                <w:szCs w:val="28"/>
                <w:lang w:val="en-US" w:eastAsia="zh-CN" w:bidi="ar"/>
              </w:rPr>
              <w:t>二、重要器官病损、重要脏器感染</w:t>
            </w:r>
          </w:p>
        </w:tc>
      </w:tr>
      <w:tr w14:paraId="2E4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4801C">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1"/>
                <w:rFonts w:hint="eastAsia" w:ascii="仿宋" w:hAnsi="仿宋" w:eastAsia="仿宋" w:cs="仿宋"/>
                <w:sz w:val="28"/>
                <w:szCs w:val="28"/>
                <w:lang w:val="en-US" w:eastAsia="zh-CN" w:bidi="ar"/>
              </w:rPr>
              <w:t>疾病编码</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1E29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1"/>
                <w:rFonts w:hint="eastAsia" w:ascii="仿宋" w:hAnsi="仿宋" w:eastAsia="仿宋" w:cs="仿宋"/>
                <w:sz w:val="28"/>
                <w:szCs w:val="28"/>
                <w:lang w:val="en-US" w:eastAsia="zh-CN" w:bidi="ar"/>
              </w:rPr>
              <w:t>疾病名称</w:t>
            </w:r>
          </w:p>
        </w:tc>
      </w:tr>
      <w:tr w14:paraId="697F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345F0268">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57FB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重要脏器（病损）</w:t>
            </w:r>
          </w:p>
        </w:tc>
      </w:tr>
      <w:tr w14:paraId="4417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1DE4B">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C71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6C702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脑恶性肿瘤</w:t>
            </w:r>
          </w:p>
        </w:tc>
      </w:tr>
      <w:tr w14:paraId="04DE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AC61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C38.0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C6C91">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心脏恶性肿瘤</w:t>
            </w:r>
          </w:p>
        </w:tc>
      </w:tr>
      <w:tr w14:paraId="4F4F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E4F77">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 xml:space="preserve">C64 </w:t>
            </w:r>
            <w:r>
              <w:rPr>
                <w:rStyle w:val="14"/>
                <w:rFonts w:hint="eastAsia" w:ascii="仿宋" w:hAnsi="仿宋" w:eastAsia="仿宋" w:cs="仿宋"/>
                <w:sz w:val="28"/>
                <w:szCs w:val="28"/>
                <w:lang w:val="en-US" w:eastAsia="zh-CN" w:bidi="ar"/>
              </w:rPr>
              <w:t>、</w:t>
            </w:r>
            <w:r>
              <w:rPr>
                <w:rStyle w:val="13"/>
                <w:rFonts w:hint="eastAsia" w:ascii="仿宋" w:hAnsi="仿宋" w:eastAsia="仿宋" w:cs="仿宋"/>
                <w:sz w:val="28"/>
                <w:szCs w:val="28"/>
                <w:lang w:val="en-US" w:eastAsia="zh-CN" w:bidi="ar"/>
              </w:rPr>
              <w:t>C65</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ED14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肾恶性肿瘤</w:t>
            </w:r>
          </w:p>
        </w:tc>
      </w:tr>
      <w:tr w14:paraId="68C5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E23BC">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C22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F566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肝和肝内胆管恶性肿瘤</w:t>
            </w:r>
          </w:p>
        </w:tc>
      </w:tr>
      <w:tr w14:paraId="57E7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4FAFC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C34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7F53B">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支气管和肺恶性肿瘤</w:t>
            </w:r>
          </w:p>
        </w:tc>
      </w:tr>
      <w:tr w14:paraId="2897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0366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C90 - C97</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EB1E1">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血液疾病</w:t>
            </w:r>
          </w:p>
        </w:tc>
      </w:tr>
      <w:tr w14:paraId="5BA4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B774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C81 - C88</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24FE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淋巴瘤</w:t>
            </w:r>
          </w:p>
        </w:tc>
      </w:tr>
      <w:tr w14:paraId="0524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44AA0A0E">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3DBB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重要器官病损（肿瘤</w:t>
            </w:r>
            <w:r>
              <w:rPr>
                <w:rStyle w:val="15"/>
                <w:rFonts w:hint="eastAsia" w:ascii="仿宋" w:hAnsi="仿宋" w:eastAsia="仿宋" w:cs="仿宋"/>
                <w:sz w:val="28"/>
                <w:szCs w:val="28"/>
                <w:lang w:val="en-US" w:eastAsia="zh-CN" w:bidi="ar"/>
              </w:rPr>
              <w:t>+</w:t>
            </w:r>
            <w:r>
              <w:rPr>
                <w:rStyle w:val="12"/>
                <w:rFonts w:hint="eastAsia" w:ascii="仿宋" w:hAnsi="仿宋" w:eastAsia="仿宋" w:cs="仿宋"/>
                <w:sz w:val="28"/>
                <w:szCs w:val="28"/>
                <w:lang w:val="en-US" w:eastAsia="zh-CN" w:bidi="ar"/>
              </w:rPr>
              <w:t>化疗</w:t>
            </w:r>
            <w:r>
              <w:rPr>
                <w:rStyle w:val="15"/>
                <w:rFonts w:hint="eastAsia" w:ascii="仿宋" w:hAnsi="仿宋" w:eastAsia="仿宋" w:cs="仿宋"/>
                <w:sz w:val="28"/>
                <w:szCs w:val="28"/>
                <w:lang w:val="en-US" w:eastAsia="zh-CN" w:bidi="ar"/>
              </w:rPr>
              <w:t>+</w:t>
            </w:r>
            <w:r>
              <w:rPr>
                <w:rStyle w:val="12"/>
                <w:rFonts w:hint="eastAsia" w:ascii="仿宋" w:hAnsi="仿宋" w:eastAsia="仿宋" w:cs="仿宋"/>
                <w:sz w:val="28"/>
                <w:szCs w:val="28"/>
                <w:lang w:val="en-US" w:eastAsia="zh-CN" w:bidi="ar"/>
              </w:rPr>
              <w:t>放疗）</w:t>
            </w:r>
          </w:p>
        </w:tc>
      </w:tr>
      <w:tr w14:paraId="2657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3FBBC">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Z51.0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6476A">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放射治疗疗程</w:t>
            </w:r>
          </w:p>
        </w:tc>
      </w:tr>
      <w:tr w14:paraId="2B95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82DF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Z51.1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C59C3">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为肿瘤化学治疗疗程</w:t>
            </w:r>
          </w:p>
        </w:tc>
      </w:tr>
      <w:tr w14:paraId="7A10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F37A5">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Z51.2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981B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其他化学治疗</w:t>
            </w:r>
          </w:p>
        </w:tc>
      </w:tr>
      <w:tr w14:paraId="14B2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148349CA">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B31E7">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重要脏器感染（肺）</w:t>
            </w:r>
          </w:p>
        </w:tc>
      </w:tr>
      <w:tr w14:paraId="1C60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E3DFB">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J12</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E0C5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病毒性肺炎，不可归类在他处者</w:t>
            </w:r>
          </w:p>
        </w:tc>
      </w:tr>
      <w:tr w14:paraId="74E1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0F62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J13 - J18</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4238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肺炎</w:t>
            </w:r>
          </w:p>
        </w:tc>
      </w:tr>
      <w:tr w14:paraId="699C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118A4595">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C2F0C">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重要脏器感染（肝）</w:t>
            </w:r>
          </w:p>
        </w:tc>
      </w:tr>
      <w:tr w14:paraId="4576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614C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B15 - B19</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D2E2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病毒性肝炎</w:t>
            </w:r>
          </w:p>
        </w:tc>
      </w:tr>
      <w:tr w14:paraId="78A8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D6220">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K73</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577B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慢性肝炎，不可归类在他处者</w:t>
            </w:r>
          </w:p>
        </w:tc>
      </w:tr>
      <w:tr w14:paraId="6AEF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199EA1">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K74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8B2D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肝纤维化和肝硬变</w:t>
            </w:r>
          </w:p>
        </w:tc>
      </w:tr>
      <w:tr w14:paraId="4F6A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F545D0">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K75</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5621C">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其他炎性肝脏疾病</w:t>
            </w:r>
          </w:p>
        </w:tc>
      </w:tr>
      <w:tr w14:paraId="28B8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209F12E9">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3FD6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重要脏器感染（胆囊）</w:t>
            </w:r>
          </w:p>
        </w:tc>
      </w:tr>
      <w:tr w14:paraId="0828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73952">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K80.0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79F00">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胆囊结石伴有急性胆囊炎</w:t>
            </w:r>
          </w:p>
        </w:tc>
      </w:tr>
      <w:tr w14:paraId="01F0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110C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K80.1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B2DF6">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胆囊结石伴有其他胆囊炎</w:t>
            </w:r>
          </w:p>
        </w:tc>
      </w:tr>
      <w:tr w14:paraId="3BCC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D4EBE">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K80.4</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95D6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胆管结石伴有胆囊炎</w:t>
            </w:r>
          </w:p>
        </w:tc>
      </w:tr>
      <w:tr w14:paraId="6B68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CE4C1">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K81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3571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胆囊炎</w:t>
            </w:r>
          </w:p>
        </w:tc>
      </w:tr>
      <w:tr w14:paraId="052C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1981BBC0">
            <w:pPr>
              <w:jc w:val="left"/>
              <w:rPr>
                <w:rFonts w:hint="eastAsia" w:ascii="仿宋" w:hAnsi="仿宋" w:eastAsia="仿宋" w:cs="仿宋"/>
                <w:i w:val="0"/>
                <w:iCs w:val="0"/>
                <w:color w:val="000000"/>
                <w:sz w:val="28"/>
                <w:szCs w:val="28"/>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E68A4">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2"/>
                <w:rFonts w:hint="eastAsia" w:ascii="仿宋" w:hAnsi="仿宋" w:eastAsia="仿宋" w:cs="仿宋"/>
                <w:sz w:val="28"/>
                <w:szCs w:val="28"/>
                <w:lang w:val="en-US" w:eastAsia="zh-CN" w:bidi="ar"/>
              </w:rPr>
              <w:t>重要脏器感染（胰）</w:t>
            </w:r>
          </w:p>
        </w:tc>
      </w:tr>
      <w:tr w14:paraId="3DA7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2373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K85</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F8BF7">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急性胰腺炎</w:t>
            </w:r>
          </w:p>
        </w:tc>
      </w:tr>
      <w:tr w14:paraId="0115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309E8">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K86.0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D350F">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酒精性慢性胰腺炎</w:t>
            </w:r>
          </w:p>
        </w:tc>
      </w:tr>
      <w:tr w14:paraId="7A8E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97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13"/>
                <w:rFonts w:hint="eastAsia" w:ascii="仿宋" w:hAnsi="仿宋" w:eastAsia="仿宋" w:cs="仿宋"/>
                <w:sz w:val="28"/>
                <w:szCs w:val="28"/>
                <w:lang w:val="en-US" w:eastAsia="zh-CN" w:bidi="ar"/>
              </w:rPr>
              <w:t>K86.1</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E4649">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其他的慢性胰腺炎</w:t>
            </w:r>
          </w:p>
        </w:tc>
      </w:tr>
      <w:tr w14:paraId="5123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20" w:type="dxa"/>
            <w:gridSpan w:val="2"/>
            <w:tcBorders>
              <w:top w:val="nil"/>
              <w:left w:val="nil"/>
              <w:bottom w:val="nil"/>
              <w:right w:val="nil"/>
            </w:tcBorders>
            <w:shd w:val="clear" w:color="auto" w:fill="auto"/>
            <w:vAlign w:val="bottom"/>
          </w:tcPr>
          <w:p w14:paraId="7E736EED">
            <w:pPr>
              <w:keepNext w:val="0"/>
              <w:keepLines w:val="0"/>
              <w:widowControl/>
              <w:suppressLineNumbers w:val="0"/>
              <w:jc w:val="center"/>
              <w:textAlignment w:val="bottom"/>
              <w:rPr>
                <w:rFonts w:hint="eastAsia" w:ascii="仿宋" w:hAnsi="仿宋" w:eastAsia="仿宋" w:cs="仿宋"/>
                <w:i w:val="0"/>
                <w:iCs w:val="0"/>
                <w:color w:val="000000"/>
                <w:sz w:val="28"/>
                <w:szCs w:val="28"/>
                <w:u w:val="none"/>
              </w:rPr>
            </w:pPr>
            <w:r>
              <w:rPr>
                <w:rStyle w:val="14"/>
                <w:rFonts w:hint="eastAsia" w:ascii="仿宋" w:hAnsi="仿宋" w:eastAsia="仿宋" w:cs="仿宋"/>
                <w:sz w:val="28"/>
                <w:szCs w:val="28"/>
                <w:lang w:val="en-US" w:eastAsia="zh-CN" w:bidi="ar"/>
              </w:rPr>
              <w:t>备注：如医保疾病诊断编码有调整的，按调整后的编码执行。</w:t>
            </w:r>
          </w:p>
        </w:tc>
      </w:tr>
    </w:tbl>
    <w:p w14:paraId="26BB8249">
      <w:pPr>
        <w:pStyle w:val="2"/>
      </w:pPr>
    </w:p>
    <w:p w14:paraId="7C2B898F">
      <w:pPr>
        <w:pStyle w:val="2"/>
        <w:rPr>
          <w:rFonts w:hint="eastAsia" w:ascii="仿宋_GB2312" w:hAnsi="仿宋_GB2312" w:eastAsia="仿宋_GB2312" w:cs="仿宋_GB2312"/>
          <w:kern w:val="2"/>
          <w:sz w:val="32"/>
          <w:szCs w:val="32"/>
          <w:lang w:val="en-US" w:eastAsia="zh-CN" w:bidi="ar-SA"/>
        </w:rPr>
      </w:pPr>
    </w:p>
    <w:p w14:paraId="7CDD4902">
      <w:pPr>
        <w:pStyle w:val="2"/>
        <w:ind w:firstLine="1600" w:firstLineChars="500"/>
        <w:rPr>
          <w:rFonts w:hint="eastAsia" w:ascii="仿宋_GB2312" w:hAnsi="仿宋_GB2312" w:eastAsia="仿宋_GB2312" w:cs="仿宋_GB2312"/>
          <w:kern w:val="2"/>
          <w:sz w:val="32"/>
          <w:szCs w:val="32"/>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6BB0D0-66D9-4CE1-BCFB-ABBDE70833ED}"/>
  </w:font>
  <w:font w:name="黑体">
    <w:panose1 w:val="02010609060101010101"/>
    <w:charset w:val="86"/>
    <w:family w:val="auto"/>
    <w:pitch w:val="default"/>
    <w:sig w:usb0="800002BF" w:usb1="38CF7CFA" w:usb2="00000016" w:usb3="00000000" w:csb0="00040001" w:csb1="00000000"/>
    <w:embedRegular r:id="rId2" w:fontKey="{7ADC883E-B387-4920-848D-83C8E74D5D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4E189EC8-6D1B-4297-946A-F2EAB2FD224D}"/>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0380608E-D8EC-4F55-BCDA-836EEF5DBCD9}"/>
  </w:font>
  <w:font w:name="楷体_GB2312">
    <w:panose1 w:val="02010609030101010101"/>
    <w:charset w:val="86"/>
    <w:family w:val="modern"/>
    <w:pitch w:val="default"/>
    <w:sig w:usb0="00000001" w:usb1="080E0000" w:usb2="00000000" w:usb3="00000000" w:csb0="00040000" w:csb1="00000000"/>
    <w:embedRegular r:id="rId5" w:fontKey="{1DAEC74C-453E-4105-8911-E7623745982C}"/>
  </w:font>
  <w:font w:name="微软雅黑">
    <w:panose1 w:val="020B0503020204020204"/>
    <w:charset w:val="86"/>
    <w:family w:val="swiss"/>
    <w:pitch w:val="default"/>
    <w:sig w:usb0="80000287" w:usb1="2ACF3C50" w:usb2="00000016" w:usb3="00000000" w:csb0="0004001F" w:csb1="00000000"/>
    <w:embedRegular r:id="rId6" w:fontKey="{E7DA45DE-053F-44E4-ADCB-02BE040023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115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B053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1B053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420F">
    <w:pPr>
      <w:pStyle w:val="7"/>
    </w:pPr>
  </w:p>
  <w:p w14:paraId="6604538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18607"/>
    <w:multiLevelType w:val="singleLevel"/>
    <w:tmpl w:val="D5518607"/>
    <w:lvl w:ilvl="0" w:tentative="0">
      <w:start w:val="1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50B"/>
    <w:rsid w:val="00A23C15"/>
    <w:rsid w:val="011B0745"/>
    <w:rsid w:val="022A0BBC"/>
    <w:rsid w:val="024C6382"/>
    <w:rsid w:val="03E65EFC"/>
    <w:rsid w:val="04085FC6"/>
    <w:rsid w:val="056D2553"/>
    <w:rsid w:val="06D46E8A"/>
    <w:rsid w:val="089B6F38"/>
    <w:rsid w:val="09AD3AE9"/>
    <w:rsid w:val="09CB06B5"/>
    <w:rsid w:val="0B381EF4"/>
    <w:rsid w:val="0B5E2294"/>
    <w:rsid w:val="0C3B4EC0"/>
    <w:rsid w:val="0DD06198"/>
    <w:rsid w:val="0E506161"/>
    <w:rsid w:val="0F2A0745"/>
    <w:rsid w:val="0F423341"/>
    <w:rsid w:val="0FB12275"/>
    <w:rsid w:val="0FE35A73"/>
    <w:rsid w:val="114809B7"/>
    <w:rsid w:val="117D68B3"/>
    <w:rsid w:val="11CD06B9"/>
    <w:rsid w:val="12E31033"/>
    <w:rsid w:val="1324792E"/>
    <w:rsid w:val="136D38EA"/>
    <w:rsid w:val="143F215A"/>
    <w:rsid w:val="14A359F5"/>
    <w:rsid w:val="1582093B"/>
    <w:rsid w:val="158365BF"/>
    <w:rsid w:val="164B1A97"/>
    <w:rsid w:val="165D4F05"/>
    <w:rsid w:val="165E3157"/>
    <w:rsid w:val="18522621"/>
    <w:rsid w:val="18BF1EA7"/>
    <w:rsid w:val="1A382593"/>
    <w:rsid w:val="1A8567D8"/>
    <w:rsid w:val="1AF8625A"/>
    <w:rsid w:val="1CBC706D"/>
    <w:rsid w:val="1D031FA5"/>
    <w:rsid w:val="1EA62325"/>
    <w:rsid w:val="1F2C45A6"/>
    <w:rsid w:val="1FAC1070"/>
    <w:rsid w:val="21B3342C"/>
    <w:rsid w:val="228A4185"/>
    <w:rsid w:val="243B4AD7"/>
    <w:rsid w:val="24F008D6"/>
    <w:rsid w:val="25553977"/>
    <w:rsid w:val="25801A13"/>
    <w:rsid w:val="2584096E"/>
    <w:rsid w:val="2641214D"/>
    <w:rsid w:val="26FE0330"/>
    <w:rsid w:val="27830E5C"/>
    <w:rsid w:val="27BD555B"/>
    <w:rsid w:val="280E42B1"/>
    <w:rsid w:val="29164520"/>
    <w:rsid w:val="292C25C6"/>
    <w:rsid w:val="29584171"/>
    <w:rsid w:val="29D419FF"/>
    <w:rsid w:val="29F80D74"/>
    <w:rsid w:val="29F95CA2"/>
    <w:rsid w:val="2A27294F"/>
    <w:rsid w:val="2E277E7A"/>
    <w:rsid w:val="2F646705"/>
    <w:rsid w:val="2F8A6913"/>
    <w:rsid w:val="2FA432A0"/>
    <w:rsid w:val="30B04157"/>
    <w:rsid w:val="31097D0B"/>
    <w:rsid w:val="318B3EA1"/>
    <w:rsid w:val="32B36D79"/>
    <w:rsid w:val="32BF05EF"/>
    <w:rsid w:val="33C61EE3"/>
    <w:rsid w:val="33EF31E8"/>
    <w:rsid w:val="34E02DA2"/>
    <w:rsid w:val="351078BA"/>
    <w:rsid w:val="3529411B"/>
    <w:rsid w:val="3570514C"/>
    <w:rsid w:val="360D0221"/>
    <w:rsid w:val="365F77B4"/>
    <w:rsid w:val="37D35F4C"/>
    <w:rsid w:val="394E6C03"/>
    <w:rsid w:val="3B5D4EDB"/>
    <w:rsid w:val="40875EDF"/>
    <w:rsid w:val="408B72D1"/>
    <w:rsid w:val="412070D7"/>
    <w:rsid w:val="416F57D7"/>
    <w:rsid w:val="43D4344A"/>
    <w:rsid w:val="44F96727"/>
    <w:rsid w:val="46ED749F"/>
    <w:rsid w:val="46F53C36"/>
    <w:rsid w:val="4737208D"/>
    <w:rsid w:val="47374C72"/>
    <w:rsid w:val="48980F71"/>
    <w:rsid w:val="48C42A3E"/>
    <w:rsid w:val="48DA4C37"/>
    <w:rsid w:val="49513805"/>
    <w:rsid w:val="4A0A6C71"/>
    <w:rsid w:val="4B58121B"/>
    <w:rsid w:val="4C3B68AB"/>
    <w:rsid w:val="4D2E2B7B"/>
    <w:rsid w:val="4DEA6AA2"/>
    <w:rsid w:val="503E30D6"/>
    <w:rsid w:val="50461B8A"/>
    <w:rsid w:val="50615016"/>
    <w:rsid w:val="50F814D6"/>
    <w:rsid w:val="528D20F2"/>
    <w:rsid w:val="53BD07B5"/>
    <w:rsid w:val="55124B31"/>
    <w:rsid w:val="55142657"/>
    <w:rsid w:val="55AC4D5B"/>
    <w:rsid w:val="55B33C1E"/>
    <w:rsid w:val="56371DC9"/>
    <w:rsid w:val="56560C30"/>
    <w:rsid w:val="5665669F"/>
    <w:rsid w:val="56D45200"/>
    <w:rsid w:val="57236B81"/>
    <w:rsid w:val="57A55E2F"/>
    <w:rsid w:val="581F1A3E"/>
    <w:rsid w:val="58711748"/>
    <w:rsid w:val="58B53004"/>
    <w:rsid w:val="58B55EFF"/>
    <w:rsid w:val="58E233BD"/>
    <w:rsid w:val="59E53220"/>
    <w:rsid w:val="5AD912E0"/>
    <w:rsid w:val="5C43633B"/>
    <w:rsid w:val="5C5B368F"/>
    <w:rsid w:val="5CBA1D36"/>
    <w:rsid w:val="5D4A72C8"/>
    <w:rsid w:val="5E381A8A"/>
    <w:rsid w:val="5E7C7698"/>
    <w:rsid w:val="5F0A1F22"/>
    <w:rsid w:val="5F1028D3"/>
    <w:rsid w:val="5F317371"/>
    <w:rsid w:val="5F685EF2"/>
    <w:rsid w:val="5F6D7533"/>
    <w:rsid w:val="60D204EC"/>
    <w:rsid w:val="615C160D"/>
    <w:rsid w:val="62E573E1"/>
    <w:rsid w:val="63125416"/>
    <w:rsid w:val="63983774"/>
    <w:rsid w:val="641833C8"/>
    <w:rsid w:val="64372757"/>
    <w:rsid w:val="65200BA4"/>
    <w:rsid w:val="65F619CB"/>
    <w:rsid w:val="6627015B"/>
    <w:rsid w:val="69B016A1"/>
    <w:rsid w:val="6A1D56B2"/>
    <w:rsid w:val="6AAD4C88"/>
    <w:rsid w:val="6AF91C7B"/>
    <w:rsid w:val="6B0146F3"/>
    <w:rsid w:val="6DB63E53"/>
    <w:rsid w:val="6DDC372A"/>
    <w:rsid w:val="6E0B3369"/>
    <w:rsid w:val="70217031"/>
    <w:rsid w:val="71903A36"/>
    <w:rsid w:val="73EF60EE"/>
    <w:rsid w:val="74C90A7C"/>
    <w:rsid w:val="763827F6"/>
    <w:rsid w:val="7763329E"/>
    <w:rsid w:val="777F64D6"/>
    <w:rsid w:val="77927120"/>
    <w:rsid w:val="781A5362"/>
    <w:rsid w:val="78C030F8"/>
    <w:rsid w:val="78CF6711"/>
    <w:rsid w:val="79432F75"/>
    <w:rsid w:val="798457CB"/>
    <w:rsid w:val="7AAB75D1"/>
    <w:rsid w:val="7AC7058D"/>
    <w:rsid w:val="7AED10D1"/>
    <w:rsid w:val="7B231500"/>
    <w:rsid w:val="7CA85D25"/>
    <w:rsid w:val="7D32511E"/>
    <w:rsid w:val="7E21630F"/>
    <w:rsid w:val="7ED3406E"/>
    <w:rsid w:val="7EF86C56"/>
    <w:rsid w:val="7F3B2B24"/>
    <w:rsid w:val="7F62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font11"/>
    <w:basedOn w:val="10"/>
    <w:qFormat/>
    <w:uiPriority w:val="0"/>
    <w:rPr>
      <w:rFonts w:ascii="黑体" w:hAnsi="宋体" w:eastAsia="黑体" w:cs="黑体"/>
      <w:color w:val="000000"/>
      <w:sz w:val="30"/>
      <w:szCs w:val="30"/>
      <w:u w:val="none"/>
    </w:rPr>
  </w:style>
  <w:style w:type="character" w:customStyle="1" w:styleId="12">
    <w:name w:val="font21"/>
    <w:basedOn w:val="10"/>
    <w:qFormat/>
    <w:uiPriority w:val="0"/>
    <w:rPr>
      <w:rFonts w:ascii="仿宋" w:hAnsi="仿宋" w:eastAsia="仿宋" w:cs="仿宋"/>
      <w:b/>
      <w:bCs/>
      <w:color w:val="000000"/>
      <w:sz w:val="30"/>
      <w:szCs w:val="30"/>
      <w:u w:val="none"/>
    </w:rPr>
  </w:style>
  <w:style w:type="character" w:customStyle="1" w:styleId="13">
    <w:name w:val="font31"/>
    <w:basedOn w:val="10"/>
    <w:qFormat/>
    <w:uiPriority w:val="0"/>
    <w:rPr>
      <w:rFonts w:hint="default" w:ascii="Arial" w:hAnsi="Arial" w:cs="Arial"/>
      <w:color w:val="000000"/>
      <w:sz w:val="30"/>
      <w:szCs w:val="30"/>
      <w:u w:val="none"/>
    </w:rPr>
  </w:style>
  <w:style w:type="character" w:customStyle="1" w:styleId="14">
    <w:name w:val="font41"/>
    <w:basedOn w:val="10"/>
    <w:qFormat/>
    <w:uiPriority w:val="0"/>
    <w:rPr>
      <w:rFonts w:hint="eastAsia" w:ascii="仿宋" w:hAnsi="仿宋" w:eastAsia="仿宋" w:cs="仿宋"/>
      <w:color w:val="000000"/>
      <w:sz w:val="30"/>
      <w:szCs w:val="30"/>
      <w:u w:val="none"/>
    </w:rPr>
  </w:style>
  <w:style w:type="character" w:customStyle="1" w:styleId="15">
    <w:name w:val="font51"/>
    <w:basedOn w:val="10"/>
    <w:qFormat/>
    <w:uiPriority w:val="0"/>
    <w:rPr>
      <w:rFonts w:hint="default" w:ascii="Arial" w:hAnsi="Arial" w:cs="Arial"/>
      <w:b/>
      <w:bCs/>
      <w:color w:val="000000"/>
      <w:sz w:val="30"/>
      <w:szCs w:val="3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11370</Words>
  <Characters>12091</Characters>
  <Lines>0</Lines>
  <Paragraphs>0</Paragraphs>
  <TotalTime>203</TotalTime>
  <ScaleCrop>false</ScaleCrop>
  <LinksUpToDate>false</LinksUpToDate>
  <CharactersWithSpaces>12270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2025-06-03T06:54:00Z</dcterms:created>
  <dc:creator>Administrator</dc:creator>
  <cp:lastModifiedBy>cyp</cp:lastModifiedBy>
  <cp:lastPrinted>2025-09-04T02:04:00Z</cp:lastPrinted>
  <dcterms:modified xsi:type="dcterms:W3CDTF">2025-09-12T07:52:45Z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eyJoZGlkIjoiMWIzMTc1MjVkODE5NTYzNWM2NzZiNmY0MTc4N2U5MzUiLCJ1c2VySWQiOiI0Mzk5NTYyNjEifQ==</vt:lpwstr>
  </property>
  <property fmtid="{D5CDD505-2E9C-101B-9397-08002B2CF9AE}" pid="4" name="ICV">
    <vt:lpwstr>BC041C0036864127B37C1A31813E28C7_13</vt:lpwstr>
  </property>
</Properties>
</file>