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01240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云浮市水泥产品质量监督抽查实施细则</w:t>
      </w:r>
    </w:p>
    <w:p w14:paraId="7AE6B1B6">
      <w:pPr>
        <w:spacing w:line="560" w:lineRule="exact"/>
        <w:jc w:val="center"/>
        <w:rPr>
          <w:rFonts w:eastAsia="楷体_GB2312"/>
          <w:szCs w:val="32"/>
        </w:rPr>
      </w:pPr>
      <w:r>
        <w:rPr>
          <w:rFonts w:eastAsia="楷体_GB2312"/>
          <w:szCs w:val="32"/>
        </w:rPr>
        <w:t>（202</w:t>
      </w:r>
      <w:r>
        <w:rPr>
          <w:rFonts w:hint="eastAsia" w:eastAsia="楷体_GB2312"/>
          <w:szCs w:val="32"/>
        </w:rPr>
        <w:t>5</w:t>
      </w:r>
      <w:r>
        <w:rPr>
          <w:rFonts w:eastAsia="楷体_GB2312"/>
          <w:szCs w:val="32"/>
        </w:rPr>
        <w:t>年版）</w:t>
      </w:r>
    </w:p>
    <w:p w14:paraId="781A8B1A">
      <w:pPr>
        <w:spacing w:line="560" w:lineRule="exact"/>
        <w:rPr>
          <w:rFonts w:ascii="仿宋_GB2312" w:hAnsi="仿宋_GB2312" w:cs="仿宋_GB2312"/>
          <w:color w:val="000000"/>
          <w:szCs w:val="32"/>
        </w:rPr>
      </w:pPr>
      <w:bookmarkStart w:id="1" w:name="_GoBack"/>
      <w:bookmarkEnd w:id="1"/>
    </w:p>
    <w:p w14:paraId="2232BE2D">
      <w:pPr>
        <w:spacing w:line="560" w:lineRule="exact"/>
        <w:ind w:firstLine="640"/>
        <w:rPr>
          <w:rFonts w:eastAsia="黑体"/>
          <w:color w:val="000000"/>
          <w:szCs w:val="32"/>
        </w:rPr>
      </w:pPr>
      <w:r>
        <w:rPr>
          <w:rFonts w:eastAsia="黑体"/>
          <w:color w:val="000000"/>
          <w:szCs w:val="32"/>
        </w:rPr>
        <w:t>1 抽样方法</w:t>
      </w:r>
    </w:p>
    <w:p w14:paraId="7C75DB76">
      <w:pPr>
        <w:spacing w:line="560" w:lineRule="exact"/>
        <w:ind w:firstLine="640"/>
        <w:rPr>
          <w:color w:val="000000"/>
          <w:szCs w:val="32"/>
        </w:rPr>
      </w:pPr>
      <w:r>
        <w:rPr>
          <w:color w:val="000000"/>
          <w:szCs w:val="32"/>
        </w:rPr>
        <w:t>以随机抽样的方式在被抽样生产者、销售者的待销产品中抽取。</w:t>
      </w:r>
    </w:p>
    <w:p w14:paraId="0DEC4CD5">
      <w:pPr>
        <w:spacing w:line="560" w:lineRule="exact"/>
        <w:ind w:firstLine="640"/>
        <w:rPr>
          <w:color w:val="000000"/>
          <w:szCs w:val="32"/>
        </w:rPr>
      </w:pPr>
      <w:r>
        <w:rPr>
          <w:color w:val="000000"/>
          <w:szCs w:val="32"/>
        </w:rPr>
        <w:t>随机数一般可使用随机数表等方法产生。</w:t>
      </w:r>
    </w:p>
    <w:p w14:paraId="0B66A1D4">
      <w:pPr>
        <w:spacing w:line="560" w:lineRule="exact"/>
        <w:ind w:firstLine="640"/>
        <w:rPr>
          <w:szCs w:val="32"/>
        </w:rPr>
      </w:pPr>
      <w:r>
        <w:rPr>
          <w:szCs w:val="32"/>
        </w:rPr>
        <w:t>每批次产品抽取样品</w:t>
      </w:r>
      <w:r>
        <w:rPr>
          <w:rFonts w:hint="eastAsia"/>
          <w:szCs w:val="32"/>
        </w:rPr>
        <w:t>数量为20kg。袋装水泥从企业的成品仓抽取，确定 1 个出厂编号的水泥，在该编号的水泥中随机从 20包以上的袋装水泥中取等量样品，取样数量为20kg，缩分为二等份；散装水泥从散装库卸料或输送水泥运输机具上，在规定的出厂编号吨位范围内，间隔抽取20次以上样品，取样数量为 20kg，缩分为二等份。两等份样品中，一份为检验样品，一份为备用样品</w:t>
      </w:r>
      <w:r>
        <w:rPr>
          <w:szCs w:val="32"/>
        </w:rPr>
        <w:t>。</w:t>
      </w:r>
    </w:p>
    <w:p w14:paraId="1AB6D553">
      <w:pPr>
        <w:spacing w:line="560" w:lineRule="exact"/>
        <w:ind w:firstLine="640"/>
        <w:rPr>
          <w:color w:val="000000"/>
          <w:szCs w:val="32"/>
        </w:rPr>
      </w:pPr>
      <w:r>
        <w:rPr>
          <w:rFonts w:hint="eastAsia"/>
          <w:color w:val="000000"/>
          <w:szCs w:val="32"/>
        </w:rPr>
        <w:t>检验样品包装后带回检验机构，检验消耗。</w:t>
      </w:r>
      <w:r>
        <w:rPr>
          <w:rFonts w:hint="eastAsia"/>
          <w:szCs w:val="32"/>
        </w:rPr>
        <w:t>备用</w:t>
      </w:r>
      <w:r>
        <w:rPr>
          <w:rFonts w:hint="eastAsia"/>
          <w:color w:val="000000"/>
          <w:szCs w:val="32"/>
        </w:rPr>
        <w:t>样品留企业封存，并存放在干燥、防潮的地方，保存期应在抽查结果公布后不少于三个月。</w:t>
      </w:r>
    </w:p>
    <w:p w14:paraId="278CE866">
      <w:pPr>
        <w:spacing w:line="560" w:lineRule="exact"/>
        <w:ind w:firstLine="640"/>
        <w:rPr>
          <w:rFonts w:eastAsia="黑体"/>
          <w:color w:val="000000"/>
          <w:szCs w:val="32"/>
        </w:rPr>
      </w:pPr>
      <w:r>
        <w:rPr>
          <w:rFonts w:eastAsia="黑体"/>
          <w:color w:val="000000"/>
          <w:szCs w:val="32"/>
        </w:rPr>
        <w:t>2 检验依据</w:t>
      </w:r>
    </w:p>
    <w:p w14:paraId="1DA037D0">
      <w:pPr>
        <w:spacing w:line="560" w:lineRule="exact"/>
        <w:ind w:firstLine="640"/>
        <w:rPr>
          <w:color w:val="000000"/>
          <w:szCs w:val="32"/>
        </w:rPr>
      </w:pPr>
      <w:r>
        <w:rPr>
          <w:color w:val="000000"/>
          <w:szCs w:val="32"/>
        </w:rPr>
        <w:t>2.1</w:t>
      </w:r>
      <w:r>
        <w:rPr>
          <w:rFonts w:hint="eastAsia"/>
          <w:color w:val="000000"/>
          <w:szCs w:val="32"/>
        </w:rPr>
        <w:t>普通硅酸盐水泥</w:t>
      </w:r>
    </w:p>
    <w:tbl>
      <w:tblPr>
        <w:tblStyle w:val="29"/>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953"/>
        <w:gridCol w:w="4669"/>
      </w:tblGrid>
      <w:tr w14:paraId="2EF1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44AF0C0E">
            <w:pPr>
              <w:spacing w:line="560" w:lineRule="exact"/>
              <w:jc w:val="center"/>
              <w:rPr>
                <w:color w:val="000000"/>
                <w:szCs w:val="32"/>
              </w:rPr>
            </w:pPr>
            <w:r>
              <w:rPr>
                <w:color w:val="000000"/>
                <w:szCs w:val="32"/>
              </w:rPr>
              <w:t>序号</w:t>
            </w:r>
          </w:p>
        </w:tc>
        <w:tc>
          <w:tcPr>
            <w:tcW w:w="2953" w:type="dxa"/>
            <w:noWrap/>
            <w:vAlign w:val="center"/>
          </w:tcPr>
          <w:p w14:paraId="49AA4899">
            <w:pPr>
              <w:spacing w:line="560" w:lineRule="exact"/>
              <w:jc w:val="center"/>
              <w:rPr>
                <w:color w:val="000000"/>
                <w:szCs w:val="32"/>
              </w:rPr>
            </w:pPr>
            <w:r>
              <w:rPr>
                <w:color w:val="000000"/>
                <w:szCs w:val="32"/>
              </w:rPr>
              <w:t>检验项目</w:t>
            </w:r>
          </w:p>
        </w:tc>
        <w:tc>
          <w:tcPr>
            <w:tcW w:w="4669" w:type="dxa"/>
            <w:noWrap/>
            <w:vAlign w:val="center"/>
          </w:tcPr>
          <w:p w14:paraId="7F899A53">
            <w:pPr>
              <w:spacing w:line="560" w:lineRule="exact"/>
              <w:jc w:val="center"/>
              <w:rPr>
                <w:color w:val="000000"/>
                <w:szCs w:val="32"/>
              </w:rPr>
            </w:pPr>
            <w:r>
              <w:rPr>
                <w:color w:val="000000"/>
                <w:szCs w:val="32"/>
              </w:rPr>
              <w:t>检验方法</w:t>
            </w:r>
          </w:p>
        </w:tc>
      </w:tr>
      <w:tr w14:paraId="2908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29B481AE">
            <w:pPr>
              <w:spacing w:line="560" w:lineRule="exact"/>
              <w:jc w:val="center"/>
              <w:rPr>
                <w:color w:val="000000"/>
                <w:szCs w:val="32"/>
              </w:rPr>
            </w:pPr>
            <w:r>
              <w:rPr>
                <w:rFonts w:hint="eastAsia"/>
                <w:color w:val="000000"/>
                <w:szCs w:val="32"/>
              </w:rPr>
              <w:t>1</w:t>
            </w:r>
          </w:p>
        </w:tc>
        <w:tc>
          <w:tcPr>
            <w:tcW w:w="2953" w:type="dxa"/>
            <w:noWrap/>
            <w:vAlign w:val="center"/>
          </w:tcPr>
          <w:p w14:paraId="7728D256">
            <w:pPr>
              <w:spacing w:line="560" w:lineRule="exact"/>
              <w:jc w:val="center"/>
              <w:rPr>
                <w:color w:val="000000"/>
                <w:szCs w:val="32"/>
              </w:rPr>
            </w:pPr>
            <w:r>
              <w:rPr>
                <w:szCs w:val="21"/>
              </w:rPr>
              <w:t>烧失量</w:t>
            </w:r>
          </w:p>
        </w:tc>
        <w:tc>
          <w:tcPr>
            <w:tcW w:w="4669" w:type="dxa"/>
            <w:noWrap/>
            <w:vAlign w:val="center"/>
          </w:tcPr>
          <w:p w14:paraId="693069EE">
            <w:pPr>
              <w:spacing w:line="0" w:lineRule="atLeast"/>
              <w:jc w:val="center"/>
              <w:rPr>
                <w:szCs w:val="21"/>
              </w:rPr>
            </w:pPr>
            <w:r>
              <w:rPr>
                <w:szCs w:val="21"/>
              </w:rPr>
              <w:t>GB/T</w:t>
            </w:r>
            <w:r>
              <w:rPr>
                <w:rFonts w:hint="eastAsia"/>
                <w:szCs w:val="21"/>
              </w:rPr>
              <w:t xml:space="preserve"> </w:t>
            </w:r>
            <w:r>
              <w:rPr>
                <w:szCs w:val="21"/>
              </w:rPr>
              <w:t>176-2017/8</w:t>
            </w:r>
          </w:p>
        </w:tc>
      </w:tr>
      <w:tr w14:paraId="3A29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3CBB81E4">
            <w:pPr>
              <w:spacing w:line="560" w:lineRule="exact"/>
              <w:jc w:val="center"/>
              <w:rPr>
                <w:color w:val="000000"/>
                <w:szCs w:val="32"/>
              </w:rPr>
            </w:pPr>
            <w:r>
              <w:rPr>
                <w:rFonts w:hint="eastAsia"/>
                <w:color w:val="000000"/>
                <w:szCs w:val="32"/>
              </w:rPr>
              <w:t>2</w:t>
            </w:r>
          </w:p>
        </w:tc>
        <w:tc>
          <w:tcPr>
            <w:tcW w:w="2953" w:type="dxa"/>
            <w:noWrap/>
            <w:vAlign w:val="center"/>
          </w:tcPr>
          <w:p w14:paraId="4409190A">
            <w:pPr>
              <w:spacing w:line="560" w:lineRule="exact"/>
              <w:jc w:val="center"/>
              <w:rPr>
                <w:color w:val="000000"/>
                <w:szCs w:val="32"/>
              </w:rPr>
            </w:pPr>
            <w:r>
              <w:rPr>
                <w:szCs w:val="21"/>
              </w:rPr>
              <w:t>三氧化硫</w:t>
            </w:r>
          </w:p>
        </w:tc>
        <w:tc>
          <w:tcPr>
            <w:tcW w:w="4669" w:type="dxa"/>
            <w:noWrap/>
            <w:vAlign w:val="center"/>
          </w:tcPr>
          <w:p w14:paraId="33612D0F">
            <w:pPr>
              <w:spacing w:line="0" w:lineRule="atLeast"/>
              <w:jc w:val="center"/>
              <w:rPr>
                <w:szCs w:val="21"/>
              </w:rPr>
            </w:pPr>
            <w:r>
              <w:rPr>
                <w:szCs w:val="21"/>
              </w:rPr>
              <w:t>GB/T</w:t>
            </w:r>
            <w:r>
              <w:rPr>
                <w:rFonts w:hint="eastAsia"/>
                <w:szCs w:val="21"/>
              </w:rPr>
              <w:t xml:space="preserve"> </w:t>
            </w:r>
            <w:r>
              <w:rPr>
                <w:szCs w:val="21"/>
              </w:rPr>
              <w:t>176-2017/</w:t>
            </w:r>
            <w:r>
              <w:rPr>
                <w:rFonts w:hint="eastAsia"/>
                <w:szCs w:val="21"/>
              </w:rPr>
              <w:t>10</w:t>
            </w:r>
          </w:p>
        </w:tc>
      </w:tr>
      <w:tr w14:paraId="2386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2BB23D92">
            <w:pPr>
              <w:spacing w:line="560" w:lineRule="exact"/>
              <w:jc w:val="center"/>
              <w:rPr>
                <w:color w:val="000000"/>
                <w:szCs w:val="32"/>
              </w:rPr>
            </w:pPr>
            <w:r>
              <w:rPr>
                <w:rFonts w:hint="eastAsia"/>
                <w:color w:val="000000"/>
                <w:szCs w:val="32"/>
              </w:rPr>
              <w:t>3</w:t>
            </w:r>
          </w:p>
        </w:tc>
        <w:tc>
          <w:tcPr>
            <w:tcW w:w="2953" w:type="dxa"/>
            <w:noWrap/>
            <w:vAlign w:val="center"/>
          </w:tcPr>
          <w:p w14:paraId="36713689">
            <w:pPr>
              <w:spacing w:line="560" w:lineRule="exact"/>
              <w:jc w:val="center"/>
              <w:rPr>
                <w:color w:val="000000"/>
                <w:szCs w:val="32"/>
              </w:rPr>
            </w:pPr>
            <w:r>
              <w:rPr>
                <w:szCs w:val="21"/>
              </w:rPr>
              <w:t>氧化镁</w:t>
            </w:r>
          </w:p>
        </w:tc>
        <w:tc>
          <w:tcPr>
            <w:tcW w:w="4669" w:type="dxa"/>
            <w:noWrap/>
            <w:vAlign w:val="center"/>
          </w:tcPr>
          <w:p w14:paraId="75A2BBC3">
            <w:pPr>
              <w:spacing w:line="0" w:lineRule="atLeast"/>
              <w:jc w:val="center"/>
              <w:rPr>
                <w:szCs w:val="21"/>
              </w:rPr>
            </w:pPr>
            <w:r>
              <w:rPr>
                <w:szCs w:val="21"/>
              </w:rPr>
              <w:t>GB/T</w:t>
            </w:r>
            <w:r>
              <w:rPr>
                <w:rFonts w:hint="eastAsia"/>
                <w:szCs w:val="21"/>
              </w:rPr>
              <w:t xml:space="preserve"> </w:t>
            </w:r>
            <w:r>
              <w:rPr>
                <w:szCs w:val="21"/>
              </w:rPr>
              <w:t>176-2017/15、29</w:t>
            </w:r>
          </w:p>
        </w:tc>
      </w:tr>
      <w:tr w14:paraId="5937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2501E860">
            <w:pPr>
              <w:spacing w:line="560" w:lineRule="exact"/>
              <w:jc w:val="center"/>
              <w:rPr>
                <w:color w:val="000000"/>
                <w:szCs w:val="32"/>
              </w:rPr>
            </w:pPr>
            <w:r>
              <w:rPr>
                <w:rFonts w:hint="eastAsia"/>
                <w:color w:val="000000"/>
                <w:szCs w:val="32"/>
              </w:rPr>
              <w:t>4</w:t>
            </w:r>
          </w:p>
        </w:tc>
        <w:tc>
          <w:tcPr>
            <w:tcW w:w="2953" w:type="dxa"/>
            <w:noWrap/>
            <w:vAlign w:val="center"/>
          </w:tcPr>
          <w:p w14:paraId="27539062">
            <w:pPr>
              <w:spacing w:line="560" w:lineRule="exact"/>
              <w:jc w:val="center"/>
              <w:rPr>
                <w:color w:val="000000"/>
                <w:szCs w:val="32"/>
              </w:rPr>
            </w:pPr>
            <w:r>
              <w:rPr>
                <w:rFonts w:hint="eastAsia"/>
                <w:color w:val="000000"/>
                <w:szCs w:val="32"/>
              </w:rPr>
              <w:t>氯离子</w:t>
            </w:r>
          </w:p>
        </w:tc>
        <w:tc>
          <w:tcPr>
            <w:tcW w:w="4669" w:type="dxa"/>
            <w:noWrap/>
            <w:vAlign w:val="center"/>
          </w:tcPr>
          <w:p w14:paraId="7E157167">
            <w:pPr>
              <w:spacing w:line="0" w:lineRule="atLeast"/>
              <w:jc w:val="center"/>
              <w:rPr>
                <w:szCs w:val="21"/>
              </w:rPr>
            </w:pPr>
            <w:r>
              <w:rPr>
                <w:szCs w:val="21"/>
              </w:rPr>
              <w:t>GB/T</w:t>
            </w:r>
            <w:r>
              <w:rPr>
                <w:rFonts w:hint="eastAsia"/>
                <w:szCs w:val="21"/>
              </w:rPr>
              <w:t xml:space="preserve"> </w:t>
            </w:r>
            <w:r>
              <w:rPr>
                <w:szCs w:val="21"/>
              </w:rPr>
              <w:t>176-2017/18、35</w:t>
            </w:r>
          </w:p>
        </w:tc>
      </w:tr>
      <w:tr w14:paraId="182C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4A3739EA">
            <w:pPr>
              <w:spacing w:line="560" w:lineRule="exact"/>
              <w:jc w:val="center"/>
              <w:rPr>
                <w:color w:val="000000"/>
                <w:szCs w:val="32"/>
              </w:rPr>
            </w:pPr>
            <w:r>
              <w:rPr>
                <w:rFonts w:hint="eastAsia"/>
                <w:color w:val="000000"/>
                <w:szCs w:val="32"/>
              </w:rPr>
              <w:t>5</w:t>
            </w:r>
          </w:p>
        </w:tc>
        <w:tc>
          <w:tcPr>
            <w:tcW w:w="2953" w:type="dxa"/>
            <w:noWrap/>
            <w:vAlign w:val="center"/>
          </w:tcPr>
          <w:p w14:paraId="10D96424">
            <w:pPr>
              <w:jc w:val="center"/>
              <w:rPr>
                <w:szCs w:val="21"/>
              </w:rPr>
            </w:pPr>
            <w:r>
              <w:rPr>
                <w:rFonts w:hint="eastAsia"/>
                <w:szCs w:val="21"/>
              </w:rPr>
              <w:t>水溶性铬（Ⅵ）</w:t>
            </w:r>
          </w:p>
        </w:tc>
        <w:tc>
          <w:tcPr>
            <w:tcW w:w="4669" w:type="dxa"/>
            <w:noWrap/>
            <w:vAlign w:val="center"/>
          </w:tcPr>
          <w:p w14:paraId="3B3567DE">
            <w:pPr>
              <w:spacing w:line="560" w:lineRule="exact"/>
              <w:jc w:val="center"/>
              <w:rPr>
                <w:color w:val="000000"/>
                <w:szCs w:val="32"/>
              </w:rPr>
            </w:pPr>
            <w:r>
              <w:rPr>
                <w:rFonts w:hint="eastAsia"/>
                <w:szCs w:val="21"/>
              </w:rPr>
              <w:t>GB 31893-2015</w:t>
            </w:r>
          </w:p>
        </w:tc>
      </w:tr>
      <w:tr w14:paraId="4D4F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2FF681A3">
            <w:pPr>
              <w:spacing w:line="560" w:lineRule="exact"/>
              <w:jc w:val="center"/>
              <w:rPr>
                <w:color w:val="000000"/>
                <w:szCs w:val="32"/>
              </w:rPr>
            </w:pPr>
            <w:r>
              <w:rPr>
                <w:rFonts w:hint="eastAsia"/>
                <w:color w:val="000000"/>
                <w:szCs w:val="32"/>
              </w:rPr>
              <w:t>6</w:t>
            </w:r>
          </w:p>
        </w:tc>
        <w:tc>
          <w:tcPr>
            <w:tcW w:w="2953" w:type="dxa"/>
            <w:noWrap/>
            <w:vAlign w:val="center"/>
          </w:tcPr>
          <w:p w14:paraId="4D8E8F7D">
            <w:pPr>
              <w:jc w:val="center"/>
              <w:rPr>
                <w:szCs w:val="21"/>
              </w:rPr>
            </w:pPr>
            <w:r>
              <w:rPr>
                <w:szCs w:val="21"/>
              </w:rPr>
              <w:t>凝结时间</w:t>
            </w:r>
          </w:p>
        </w:tc>
        <w:tc>
          <w:tcPr>
            <w:tcW w:w="4669" w:type="dxa"/>
            <w:noWrap/>
            <w:vAlign w:val="center"/>
          </w:tcPr>
          <w:p w14:paraId="1B4B0253">
            <w:pPr>
              <w:spacing w:line="0" w:lineRule="atLeast"/>
              <w:jc w:val="center"/>
              <w:rPr>
                <w:szCs w:val="21"/>
              </w:rPr>
            </w:pPr>
            <w:r>
              <w:rPr>
                <w:szCs w:val="21"/>
              </w:rPr>
              <w:t>GB/T</w:t>
            </w:r>
            <w:r>
              <w:rPr>
                <w:rFonts w:hint="eastAsia"/>
                <w:szCs w:val="21"/>
              </w:rPr>
              <w:t xml:space="preserve"> </w:t>
            </w:r>
            <w:r>
              <w:rPr>
                <w:szCs w:val="21"/>
              </w:rPr>
              <w:t>1346-2011/8</w:t>
            </w:r>
          </w:p>
        </w:tc>
      </w:tr>
      <w:tr w14:paraId="781F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74135A32">
            <w:pPr>
              <w:spacing w:line="560" w:lineRule="exact"/>
              <w:jc w:val="center"/>
              <w:rPr>
                <w:color w:val="000000"/>
                <w:szCs w:val="32"/>
              </w:rPr>
            </w:pPr>
            <w:r>
              <w:rPr>
                <w:rFonts w:hint="eastAsia"/>
                <w:color w:val="000000"/>
                <w:szCs w:val="32"/>
              </w:rPr>
              <w:t>7</w:t>
            </w:r>
          </w:p>
        </w:tc>
        <w:tc>
          <w:tcPr>
            <w:tcW w:w="2953" w:type="dxa"/>
            <w:noWrap/>
            <w:vAlign w:val="center"/>
          </w:tcPr>
          <w:p w14:paraId="4EF10060">
            <w:pPr>
              <w:jc w:val="center"/>
              <w:rPr>
                <w:szCs w:val="21"/>
              </w:rPr>
            </w:pPr>
            <w:r>
              <w:rPr>
                <w:szCs w:val="21"/>
              </w:rPr>
              <w:t>安定性</w:t>
            </w:r>
            <w:r>
              <w:rPr>
                <w:rFonts w:hint="eastAsia"/>
                <w:szCs w:val="21"/>
              </w:rPr>
              <w:t>（沸煮）</w:t>
            </w:r>
          </w:p>
        </w:tc>
        <w:tc>
          <w:tcPr>
            <w:tcW w:w="4669" w:type="dxa"/>
            <w:noWrap/>
            <w:vAlign w:val="center"/>
          </w:tcPr>
          <w:p w14:paraId="0FC774CC">
            <w:pPr>
              <w:spacing w:line="0" w:lineRule="atLeast"/>
              <w:jc w:val="center"/>
              <w:rPr>
                <w:szCs w:val="21"/>
              </w:rPr>
            </w:pPr>
            <w:r>
              <w:rPr>
                <w:szCs w:val="21"/>
              </w:rPr>
              <w:t>GB/T</w:t>
            </w:r>
            <w:r>
              <w:rPr>
                <w:rFonts w:hint="eastAsia"/>
                <w:szCs w:val="21"/>
              </w:rPr>
              <w:t xml:space="preserve"> </w:t>
            </w:r>
            <w:r>
              <w:rPr>
                <w:szCs w:val="21"/>
              </w:rPr>
              <w:t>1346-2011/11</w:t>
            </w:r>
          </w:p>
        </w:tc>
      </w:tr>
      <w:tr w14:paraId="2207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002A8A16">
            <w:pPr>
              <w:spacing w:line="560" w:lineRule="exact"/>
              <w:jc w:val="center"/>
              <w:rPr>
                <w:color w:val="000000"/>
                <w:szCs w:val="32"/>
              </w:rPr>
            </w:pPr>
            <w:r>
              <w:rPr>
                <w:rFonts w:hint="eastAsia"/>
                <w:color w:val="000000"/>
                <w:szCs w:val="32"/>
              </w:rPr>
              <w:t>8</w:t>
            </w:r>
          </w:p>
        </w:tc>
        <w:tc>
          <w:tcPr>
            <w:tcW w:w="2953" w:type="dxa"/>
            <w:noWrap/>
            <w:vAlign w:val="center"/>
          </w:tcPr>
          <w:p w14:paraId="4DDA4DD4">
            <w:pPr>
              <w:spacing w:line="560" w:lineRule="exact"/>
              <w:jc w:val="center"/>
              <w:rPr>
                <w:color w:val="000000"/>
                <w:szCs w:val="32"/>
              </w:rPr>
            </w:pPr>
            <w:r>
              <w:rPr>
                <w:rFonts w:hint="eastAsia"/>
                <w:color w:val="000000"/>
                <w:szCs w:val="32"/>
              </w:rPr>
              <w:t>强度</w:t>
            </w:r>
          </w:p>
        </w:tc>
        <w:tc>
          <w:tcPr>
            <w:tcW w:w="4669" w:type="dxa"/>
            <w:noWrap/>
            <w:vAlign w:val="center"/>
          </w:tcPr>
          <w:p w14:paraId="6BF34424">
            <w:pPr>
              <w:spacing w:line="0" w:lineRule="atLeast"/>
              <w:jc w:val="center"/>
              <w:rPr>
                <w:szCs w:val="21"/>
              </w:rPr>
            </w:pPr>
            <w:r>
              <w:rPr>
                <w:szCs w:val="21"/>
              </w:rPr>
              <w:t>GB/T</w:t>
            </w:r>
            <w:r>
              <w:rPr>
                <w:rFonts w:hint="eastAsia"/>
                <w:szCs w:val="21"/>
              </w:rPr>
              <w:t xml:space="preserve"> </w:t>
            </w:r>
            <w:r>
              <w:rPr>
                <w:szCs w:val="21"/>
              </w:rPr>
              <w:t>17671-2021</w:t>
            </w:r>
          </w:p>
        </w:tc>
      </w:tr>
      <w:tr w14:paraId="5524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2648AB87">
            <w:pPr>
              <w:spacing w:line="560" w:lineRule="exact"/>
              <w:jc w:val="center"/>
              <w:rPr>
                <w:color w:val="000000"/>
                <w:szCs w:val="32"/>
              </w:rPr>
            </w:pPr>
            <w:r>
              <w:rPr>
                <w:rFonts w:hint="eastAsia"/>
                <w:color w:val="000000"/>
                <w:szCs w:val="32"/>
              </w:rPr>
              <w:t>9</w:t>
            </w:r>
          </w:p>
        </w:tc>
        <w:tc>
          <w:tcPr>
            <w:tcW w:w="2953" w:type="dxa"/>
            <w:noWrap/>
            <w:vAlign w:val="center"/>
          </w:tcPr>
          <w:p w14:paraId="4DC0BF28">
            <w:pPr>
              <w:jc w:val="center"/>
              <w:rPr>
                <w:szCs w:val="21"/>
              </w:rPr>
            </w:pPr>
            <w:r>
              <w:rPr>
                <w:rFonts w:hint="eastAsia"/>
                <w:szCs w:val="21"/>
              </w:rPr>
              <w:t>细度（45um筛余）</w:t>
            </w:r>
          </w:p>
        </w:tc>
        <w:tc>
          <w:tcPr>
            <w:tcW w:w="4669" w:type="dxa"/>
            <w:noWrap/>
            <w:vAlign w:val="center"/>
          </w:tcPr>
          <w:p w14:paraId="0C99EACC">
            <w:pPr>
              <w:spacing w:line="0" w:lineRule="atLeast"/>
              <w:jc w:val="center"/>
              <w:rPr>
                <w:szCs w:val="21"/>
              </w:rPr>
            </w:pPr>
            <w:r>
              <w:rPr>
                <w:szCs w:val="21"/>
              </w:rPr>
              <w:t>GB/T 1345-2005</w:t>
            </w:r>
          </w:p>
        </w:tc>
      </w:tr>
      <w:tr w14:paraId="49D0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1CF0A25E">
            <w:pPr>
              <w:spacing w:line="560" w:lineRule="exact"/>
              <w:jc w:val="center"/>
              <w:rPr>
                <w:color w:val="000000"/>
                <w:szCs w:val="32"/>
              </w:rPr>
            </w:pPr>
            <w:r>
              <w:rPr>
                <w:rFonts w:hint="eastAsia"/>
                <w:color w:val="000000"/>
                <w:szCs w:val="32"/>
              </w:rPr>
              <w:t>10</w:t>
            </w:r>
          </w:p>
        </w:tc>
        <w:tc>
          <w:tcPr>
            <w:tcW w:w="2953" w:type="dxa"/>
            <w:noWrap/>
            <w:vAlign w:val="center"/>
          </w:tcPr>
          <w:p w14:paraId="3BE9E20E">
            <w:pPr>
              <w:spacing w:line="560" w:lineRule="exact"/>
              <w:jc w:val="center"/>
              <w:rPr>
                <w:color w:val="000000"/>
                <w:szCs w:val="32"/>
              </w:rPr>
            </w:pPr>
            <w:r>
              <w:rPr>
                <w:rFonts w:hint="eastAsia"/>
                <w:szCs w:val="21"/>
              </w:rPr>
              <w:t>组分</w:t>
            </w:r>
          </w:p>
        </w:tc>
        <w:tc>
          <w:tcPr>
            <w:tcW w:w="4669" w:type="dxa"/>
            <w:noWrap/>
            <w:vAlign w:val="center"/>
          </w:tcPr>
          <w:p w14:paraId="51A5E670">
            <w:pPr>
              <w:spacing w:line="0" w:lineRule="atLeast"/>
              <w:jc w:val="center"/>
              <w:rPr>
                <w:szCs w:val="21"/>
              </w:rPr>
            </w:pPr>
            <w:r>
              <w:rPr>
                <w:rFonts w:hint="eastAsia"/>
                <w:szCs w:val="21"/>
              </w:rPr>
              <w:t>GB/T 12960-2019</w:t>
            </w:r>
          </w:p>
        </w:tc>
      </w:tr>
      <w:tr w14:paraId="4C5E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5C489B76">
            <w:pPr>
              <w:spacing w:line="560" w:lineRule="exact"/>
              <w:jc w:val="center"/>
              <w:rPr>
                <w:color w:val="000000"/>
                <w:szCs w:val="32"/>
              </w:rPr>
            </w:pPr>
            <w:r>
              <w:rPr>
                <w:rFonts w:hint="eastAsia"/>
                <w:color w:val="000000"/>
                <w:szCs w:val="32"/>
              </w:rPr>
              <w:t>11</w:t>
            </w:r>
          </w:p>
        </w:tc>
        <w:tc>
          <w:tcPr>
            <w:tcW w:w="2953" w:type="dxa"/>
            <w:noWrap/>
            <w:vAlign w:val="center"/>
          </w:tcPr>
          <w:p w14:paraId="5E0EEA65">
            <w:pPr>
              <w:spacing w:line="560" w:lineRule="exact"/>
              <w:jc w:val="center"/>
              <w:rPr>
                <w:color w:val="000000"/>
                <w:szCs w:val="32"/>
              </w:rPr>
            </w:pPr>
            <w:r>
              <w:rPr>
                <w:szCs w:val="21"/>
              </w:rPr>
              <w:t>放射性</w:t>
            </w:r>
          </w:p>
        </w:tc>
        <w:tc>
          <w:tcPr>
            <w:tcW w:w="4669" w:type="dxa"/>
            <w:noWrap/>
            <w:vAlign w:val="center"/>
          </w:tcPr>
          <w:p w14:paraId="6B07E0DA">
            <w:pPr>
              <w:spacing w:line="0" w:lineRule="atLeast"/>
              <w:jc w:val="center"/>
              <w:rPr>
                <w:szCs w:val="21"/>
              </w:rPr>
            </w:pPr>
            <w:r>
              <w:rPr>
                <w:szCs w:val="21"/>
              </w:rPr>
              <w:t>GB 6566-2010</w:t>
            </w:r>
          </w:p>
        </w:tc>
      </w:tr>
    </w:tbl>
    <w:p w14:paraId="0A8B5108">
      <w:pPr>
        <w:spacing w:line="560" w:lineRule="exact"/>
        <w:ind w:firstLine="640"/>
        <w:rPr>
          <w:color w:val="000000"/>
          <w:szCs w:val="32"/>
        </w:rPr>
      </w:pPr>
    </w:p>
    <w:p w14:paraId="5C136357">
      <w:pPr>
        <w:spacing w:line="560" w:lineRule="exact"/>
        <w:ind w:firstLine="640"/>
        <w:rPr>
          <w:color w:val="000000"/>
          <w:szCs w:val="32"/>
        </w:rPr>
      </w:pPr>
      <w:r>
        <w:rPr>
          <w:color w:val="000000"/>
          <w:szCs w:val="32"/>
        </w:rPr>
        <w:t>2.</w:t>
      </w:r>
      <w:r>
        <w:rPr>
          <w:rFonts w:hint="eastAsia"/>
          <w:color w:val="000000"/>
          <w:szCs w:val="32"/>
        </w:rPr>
        <w:t>2砌筑水泥</w:t>
      </w:r>
    </w:p>
    <w:tbl>
      <w:tblPr>
        <w:tblStyle w:val="29"/>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953"/>
        <w:gridCol w:w="4669"/>
      </w:tblGrid>
      <w:tr w14:paraId="641D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69603EF8">
            <w:pPr>
              <w:spacing w:line="560" w:lineRule="exact"/>
              <w:jc w:val="center"/>
              <w:rPr>
                <w:color w:val="000000"/>
                <w:szCs w:val="32"/>
              </w:rPr>
            </w:pPr>
            <w:r>
              <w:rPr>
                <w:color w:val="000000"/>
                <w:szCs w:val="32"/>
              </w:rPr>
              <w:t>序号</w:t>
            </w:r>
          </w:p>
        </w:tc>
        <w:tc>
          <w:tcPr>
            <w:tcW w:w="2953" w:type="dxa"/>
            <w:noWrap/>
            <w:vAlign w:val="center"/>
          </w:tcPr>
          <w:p w14:paraId="3C11FA07">
            <w:pPr>
              <w:spacing w:line="560" w:lineRule="exact"/>
              <w:jc w:val="center"/>
              <w:rPr>
                <w:color w:val="000000"/>
                <w:szCs w:val="32"/>
              </w:rPr>
            </w:pPr>
            <w:r>
              <w:rPr>
                <w:color w:val="000000"/>
                <w:szCs w:val="32"/>
              </w:rPr>
              <w:t>检验项目</w:t>
            </w:r>
          </w:p>
        </w:tc>
        <w:tc>
          <w:tcPr>
            <w:tcW w:w="4669" w:type="dxa"/>
            <w:noWrap/>
            <w:vAlign w:val="center"/>
          </w:tcPr>
          <w:p w14:paraId="7AA562E6">
            <w:pPr>
              <w:spacing w:line="560" w:lineRule="exact"/>
              <w:jc w:val="center"/>
              <w:rPr>
                <w:color w:val="000000"/>
                <w:szCs w:val="32"/>
              </w:rPr>
            </w:pPr>
            <w:r>
              <w:rPr>
                <w:color w:val="000000"/>
                <w:szCs w:val="32"/>
              </w:rPr>
              <w:t>检验方法</w:t>
            </w:r>
          </w:p>
        </w:tc>
      </w:tr>
      <w:tr w14:paraId="49FE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65059100">
            <w:pPr>
              <w:spacing w:line="560" w:lineRule="exact"/>
              <w:jc w:val="center"/>
              <w:rPr>
                <w:color w:val="000000"/>
                <w:szCs w:val="32"/>
              </w:rPr>
            </w:pPr>
            <w:r>
              <w:rPr>
                <w:rFonts w:hint="eastAsia"/>
                <w:color w:val="000000"/>
                <w:szCs w:val="32"/>
              </w:rPr>
              <w:t>1</w:t>
            </w:r>
          </w:p>
        </w:tc>
        <w:tc>
          <w:tcPr>
            <w:tcW w:w="2953" w:type="dxa"/>
            <w:noWrap/>
            <w:vAlign w:val="center"/>
          </w:tcPr>
          <w:p w14:paraId="5BA5655B">
            <w:pPr>
              <w:spacing w:line="560" w:lineRule="exact"/>
              <w:jc w:val="center"/>
              <w:rPr>
                <w:color w:val="000000"/>
                <w:szCs w:val="32"/>
              </w:rPr>
            </w:pPr>
            <w:r>
              <w:rPr>
                <w:szCs w:val="21"/>
              </w:rPr>
              <w:t>三氧化硫</w:t>
            </w:r>
          </w:p>
        </w:tc>
        <w:tc>
          <w:tcPr>
            <w:tcW w:w="4669" w:type="dxa"/>
            <w:noWrap/>
            <w:vAlign w:val="center"/>
          </w:tcPr>
          <w:p w14:paraId="743F7934">
            <w:pPr>
              <w:spacing w:line="0" w:lineRule="atLeast"/>
              <w:jc w:val="center"/>
              <w:rPr>
                <w:szCs w:val="21"/>
              </w:rPr>
            </w:pPr>
            <w:r>
              <w:rPr>
                <w:szCs w:val="21"/>
              </w:rPr>
              <w:t>GB/T</w:t>
            </w:r>
            <w:r>
              <w:rPr>
                <w:rFonts w:hint="eastAsia"/>
                <w:szCs w:val="21"/>
              </w:rPr>
              <w:t xml:space="preserve"> </w:t>
            </w:r>
            <w:r>
              <w:rPr>
                <w:szCs w:val="21"/>
              </w:rPr>
              <w:t>176-2017/</w:t>
            </w:r>
            <w:r>
              <w:rPr>
                <w:rFonts w:hint="eastAsia"/>
                <w:szCs w:val="21"/>
              </w:rPr>
              <w:t>10</w:t>
            </w:r>
          </w:p>
        </w:tc>
      </w:tr>
      <w:tr w14:paraId="0AF6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6A14D37B">
            <w:pPr>
              <w:spacing w:line="560" w:lineRule="exact"/>
              <w:jc w:val="center"/>
              <w:rPr>
                <w:color w:val="000000"/>
                <w:szCs w:val="32"/>
              </w:rPr>
            </w:pPr>
            <w:r>
              <w:rPr>
                <w:rFonts w:hint="eastAsia"/>
                <w:color w:val="000000"/>
                <w:szCs w:val="32"/>
              </w:rPr>
              <w:t>2</w:t>
            </w:r>
          </w:p>
        </w:tc>
        <w:tc>
          <w:tcPr>
            <w:tcW w:w="2953" w:type="dxa"/>
            <w:noWrap/>
            <w:vAlign w:val="center"/>
          </w:tcPr>
          <w:p w14:paraId="515806A4">
            <w:pPr>
              <w:spacing w:line="560" w:lineRule="exact"/>
              <w:jc w:val="center"/>
              <w:rPr>
                <w:color w:val="000000"/>
                <w:szCs w:val="32"/>
              </w:rPr>
            </w:pPr>
            <w:r>
              <w:rPr>
                <w:rFonts w:hint="eastAsia"/>
                <w:color w:val="000000"/>
                <w:szCs w:val="32"/>
              </w:rPr>
              <w:t>氯离子</w:t>
            </w:r>
          </w:p>
        </w:tc>
        <w:tc>
          <w:tcPr>
            <w:tcW w:w="4669" w:type="dxa"/>
            <w:noWrap/>
            <w:vAlign w:val="center"/>
          </w:tcPr>
          <w:p w14:paraId="231F3E1A">
            <w:pPr>
              <w:spacing w:line="0" w:lineRule="atLeast"/>
              <w:jc w:val="center"/>
              <w:rPr>
                <w:szCs w:val="21"/>
              </w:rPr>
            </w:pPr>
            <w:r>
              <w:rPr>
                <w:szCs w:val="21"/>
              </w:rPr>
              <w:t>GB/T</w:t>
            </w:r>
            <w:r>
              <w:rPr>
                <w:rFonts w:hint="eastAsia"/>
                <w:szCs w:val="21"/>
              </w:rPr>
              <w:t xml:space="preserve"> </w:t>
            </w:r>
            <w:r>
              <w:rPr>
                <w:szCs w:val="21"/>
              </w:rPr>
              <w:t>176-2017/18、35</w:t>
            </w:r>
          </w:p>
        </w:tc>
      </w:tr>
      <w:tr w14:paraId="7114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0AB1ACB6">
            <w:pPr>
              <w:spacing w:line="560" w:lineRule="exact"/>
              <w:jc w:val="center"/>
              <w:rPr>
                <w:color w:val="000000"/>
                <w:szCs w:val="32"/>
              </w:rPr>
            </w:pPr>
            <w:r>
              <w:rPr>
                <w:rFonts w:hint="eastAsia"/>
                <w:color w:val="000000"/>
                <w:szCs w:val="32"/>
              </w:rPr>
              <w:t>3</w:t>
            </w:r>
          </w:p>
        </w:tc>
        <w:tc>
          <w:tcPr>
            <w:tcW w:w="2953" w:type="dxa"/>
            <w:noWrap/>
            <w:vAlign w:val="center"/>
          </w:tcPr>
          <w:p w14:paraId="7E5558FF">
            <w:pPr>
              <w:jc w:val="center"/>
              <w:rPr>
                <w:szCs w:val="21"/>
              </w:rPr>
            </w:pPr>
            <w:r>
              <w:rPr>
                <w:rFonts w:hint="eastAsia"/>
                <w:szCs w:val="21"/>
              </w:rPr>
              <w:t>水溶性铬（Ⅵ）</w:t>
            </w:r>
          </w:p>
        </w:tc>
        <w:tc>
          <w:tcPr>
            <w:tcW w:w="4669" w:type="dxa"/>
            <w:noWrap/>
            <w:vAlign w:val="center"/>
          </w:tcPr>
          <w:p w14:paraId="455E3917">
            <w:pPr>
              <w:spacing w:line="560" w:lineRule="exact"/>
              <w:jc w:val="center"/>
              <w:rPr>
                <w:color w:val="000000"/>
                <w:szCs w:val="32"/>
              </w:rPr>
            </w:pPr>
            <w:r>
              <w:rPr>
                <w:rFonts w:hint="eastAsia"/>
                <w:szCs w:val="21"/>
              </w:rPr>
              <w:t>GB 31893-2015</w:t>
            </w:r>
          </w:p>
        </w:tc>
      </w:tr>
      <w:tr w14:paraId="5DFF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4A440052">
            <w:pPr>
              <w:spacing w:line="560" w:lineRule="exact"/>
              <w:jc w:val="center"/>
              <w:rPr>
                <w:color w:val="000000"/>
                <w:szCs w:val="32"/>
              </w:rPr>
            </w:pPr>
            <w:r>
              <w:rPr>
                <w:rFonts w:hint="eastAsia"/>
                <w:color w:val="000000"/>
                <w:szCs w:val="32"/>
              </w:rPr>
              <w:t>4</w:t>
            </w:r>
          </w:p>
        </w:tc>
        <w:tc>
          <w:tcPr>
            <w:tcW w:w="2953" w:type="dxa"/>
            <w:noWrap/>
            <w:vAlign w:val="center"/>
          </w:tcPr>
          <w:p w14:paraId="1EB541DD">
            <w:pPr>
              <w:jc w:val="center"/>
              <w:rPr>
                <w:szCs w:val="21"/>
              </w:rPr>
            </w:pPr>
            <w:r>
              <w:rPr>
                <w:szCs w:val="21"/>
              </w:rPr>
              <w:t>凝结时间</w:t>
            </w:r>
          </w:p>
        </w:tc>
        <w:tc>
          <w:tcPr>
            <w:tcW w:w="4669" w:type="dxa"/>
            <w:noWrap/>
            <w:vAlign w:val="center"/>
          </w:tcPr>
          <w:p w14:paraId="1F16FE25">
            <w:pPr>
              <w:spacing w:line="0" w:lineRule="atLeast"/>
              <w:jc w:val="center"/>
              <w:rPr>
                <w:szCs w:val="21"/>
              </w:rPr>
            </w:pPr>
            <w:r>
              <w:rPr>
                <w:szCs w:val="21"/>
              </w:rPr>
              <w:t>GB/T</w:t>
            </w:r>
            <w:r>
              <w:rPr>
                <w:rFonts w:hint="eastAsia"/>
                <w:szCs w:val="21"/>
              </w:rPr>
              <w:t xml:space="preserve"> </w:t>
            </w:r>
            <w:r>
              <w:rPr>
                <w:szCs w:val="21"/>
              </w:rPr>
              <w:t>1346-2011/8</w:t>
            </w:r>
          </w:p>
        </w:tc>
      </w:tr>
      <w:tr w14:paraId="5EE7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3E49E821">
            <w:pPr>
              <w:spacing w:line="560" w:lineRule="exact"/>
              <w:jc w:val="center"/>
              <w:rPr>
                <w:color w:val="000000"/>
                <w:szCs w:val="32"/>
              </w:rPr>
            </w:pPr>
            <w:r>
              <w:rPr>
                <w:rFonts w:hint="eastAsia"/>
                <w:color w:val="000000"/>
                <w:szCs w:val="32"/>
              </w:rPr>
              <w:t>5</w:t>
            </w:r>
          </w:p>
        </w:tc>
        <w:tc>
          <w:tcPr>
            <w:tcW w:w="2953" w:type="dxa"/>
            <w:noWrap/>
            <w:vAlign w:val="center"/>
          </w:tcPr>
          <w:p w14:paraId="4C7762CF">
            <w:pPr>
              <w:jc w:val="center"/>
              <w:rPr>
                <w:szCs w:val="21"/>
              </w:rPr>
            </w:pPr>
            <w:r>
              <w:rPr>
                <w:szCs w:val="21"/>
              </w:rPr>
              <w:t>安定性</w:t>
            </w:r>
            <w:r>
              <w:rPr>
                <w:rFonts w:hint="eastAsia"/>
                <w:szCs w:val="21"/>
              </w:rPr>
              <w:t>（沸煮）</w:t>
            </w:r>
          </w:p>
        </w:tc>
        <w:tc>
          <w:tcPr>
            <w:tcW w:w="4669" w:type="dxa"/>
            <w:noWrap/>
            <w:vAlign w:val="center"/>
          </w:tcPr>
          <w:p w14:paraId="79F89CC0">
            <w:pPr>
              <w:spacing w:line="0" w:lineRule="atLeast"/>
              <w:jc w:val="center"/>
              <w:rPr>
                <w:szCs w:val="21"/>
              </w:rPr>
            </w:pPr>
            <w:r>
              <w:rPr>
                <w:szCs w:val="21"/>
              </w:rPr>
              <w:t>GB/T</w:t>
            </w:r>
            <w:r>
              <w:rPr>
                <w:rFonts w:hint="eastAsia"/>
                <w:szCs w:val="21"/>
              </w:rPr>
              <w:t xml:space="preserve"> </w:t>
            </w:r>
            <w:r>
              <w:rPr>
                <w:szCs w:val="21"/>
              </w:rPr>
              <w:t>1346-2011/11</w:t>
            </w:r>
          </w:p>
        </w:tc>
      </w:tr>
      <w:tr w14:paraId="4239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3BBA5CBF">
            <w:pPr>
              <w:spacing w:line="560" w:lineRule="exact"/>
              <w:jc w:val="center"/>
              <w:rPr>
                <w:color w:val="000000"/>
                <w:szCs w:val="32"/>
              </w:rPr>
            </w:pPr>
            <w:r>
              <w:rPr>
                <w:rFonts w:hint="eastAsia"/>
                <w:color w:val="000000"/>
                <w:szCs w:val="32"/>
              </w:rPr>
              <w:t>6</w:t>
            </w:r>
          </w:p>
        </w:tc>
        <w:tc>
          <w:tcPr>
            <w:tcW w:w="2953" w:type="dxa"/>
            <w:noWrap/>
            <w:vAlign w:val="center"/>
          </w:tcPr>
          <w:p w14:paraId="7051FFAB">
            <w:pPr>
              <w:spacing w:line="560" w:lineRule="exact"/>
              <w:jc w:val="center"/>
              <w:rPr>
                <w:color w:val="000000"/>
                <w:szCs w:val="32"/>
              </w:rPr>
            </w:pPr>
            <w:r>
              <w:rPr>
                <w:rFonts w:hint="eastAsia"/>
                <w:color w:val="000000"/>
                <w:szCs w:val="32"/>
              </w:rPr>
              <w:t>强度</w:t>
            </w:r>
          </w:p>
        </w:tc>
        <w:tc>
          <w:tcPr>
            <w:tcW w:w="4669" w:type="dxa"/>
            <w:noWrap/>
            <w:vAlign w:val="center"/>
          </w:tcPr>
          <w:p w14:paraId="243F7572">
            <w:pPr>
              <w:spacing w:line="0" w:lineRule="atLeast"/>
              <w:jc w:val="center"/>
              <w:rPr>
                <w:szCs w:val="21"/>
              </w:rPr>
            </w:pPr>
            <w:r>
              <w:rPr>
                <w:szCs w:val="21"/>
              </w:rPr>
              <w:t>GB/T</w:t>
            </w:r>
            <w:r>
              <w:rPr>
                <w:rFonts w:hint="eastAsia"/>
                <w:szCs w:val="21"/>
              </w:rPr>
              <w:t xml:space="preserve"> </w:t>
            </w:r>
            <w:r>
              <w:rPr>
                <w:szCs w:val="21"/>
              </w:rPr>
              <w:t>17671-2021</w:t>
            </w:r>
          </w:p>
        </w:tc>
      </w:tr>
      <w:tr w14:paraId="60B6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3C9BE6C0">
            <w:pPr>
              <w:spacing w:line="560" w:lineRule="exact"/>
              <w:jc w:val="center"/>
              <w:rPr>
                <w:color w:val="000000"/>
                <w:szCs w:val="32"/>
              </w:rPr>
            </w:pPr>
            <w:r>
              <w:rPr>
                <w:rFonts w:hint="eastAsia"/>
                <w:color w:val="000000"/>
                <w:szCs w:val="32"/>
              </w:rPr>
              <w:t>7</w:t>
            </w:r>
          </w:p>
        </w:tc>
        <w:tc>
          <w:tcPr>
            <w:tcW w:w="2953" w:type="dxa"/>
            <w:noWrap/>
            <w:vAlign w:val="center"/>
          </w:tcPr>
          <w:p w14:paraId="4D66AE3B">
            <w:pPr>
              <w:jc w:val="center"/>
              <w:rPr>
                <w:szCs w:val="21"/>
              </w:rPr>
            </w:pPr>
            <w:r>
              <w:rPr>
                <w:rFonts w:hint="eastAsia"/>
                <w:szCs w:val="21"/>
              </w:rPr>
              <w:t>细度（80um筛余）</w:t>
            </w:r>
          </w:p>
        </w:tc>
        <w:tc>
          <w:tcPr>
            <w:tcW w:w="4669" w:type="dxa"/>
            <w:noWrap/>
            <w:vAlign w:val="center"/>
          </w:tcPr>
          <w:p w14:paraId="056079A3">
            <w:pPr>
              <w:spacing w:line="0" w:lineRule="atLeast"/>
              <w:jc w:val="center"/>
              <w:rPr>
                <w:szCs w:val="21"/>
              </w:rPr>
            </w:pPr>
            <w:r>
              <w:rPr>
                <w:szCs w:val="21"/>
              </w:rPr>
              <w:t>GB/T 1345-2005</w:t>
            </w:r>
          </w:p>
        </w:tc>
      </w:tr>
      <w:tr w14:paraId="62FA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6572B1D4">
            <w:pPr>
              <w:spacing w:line="560" w:lineRule="exact"/>
              <w:jc w:val="center"/>
              <w:rPr>
                <w:color w:val="000000"/>
                <w:szCs w:val="32"/>
              </w:rPr>
            </w:pPr>
            <w:r>
              <w:rPr>
                <w:rFonts w:hint="eastAsia"/>
                <w:color w:val="000000"/>
                <w:szCs w:val="32"/>
              </w:rPr>
              <w:t>8</w:t>
            </w:r>
          </w:p>
        </w:tc>
        <w:tc>
          <w:tcPr>
            <w:tcW w:w="2953" w:type="dxa"/>
            <w:noWrap/>
            <w:vAlign w:val="center"/>
          </w:tcPr>
          <w:p w14:paraId="032F1269">
            <w:pPr>
              <w:spacing w:line="560" w:lineRule="exact"/>
              <w:jc w:val="center"/>
              <w:rPr>
                <w:color w:val="000000"/>
                <w:szCs w:val="32"/>
              </w:rPr>
            </w:pPr>
            <w:r>
              <w:rPr>
                <w:szCs w:val="21"/>
              </w:rPr>
              <w:t>放射性</w:t>
            </w:r>
          </w:p>
        </w:tc>
        <w:tc>
          <w:tcPr>
            <w:tcW w:w="4669" w:type="dxa"/>
            <w:noWrap/>
            <w:vAlign w:val="center"/>
          </w:tcPr>
          <w:p w14:paraId="472800F2">
            <w:pPr>
              <w:spacing w:line="0" w:lineRule="atLeast"/>
              <w:jc w:val="center"/>
              <w:rPr>
                <w:szCs w:val="21"/>
              </w:rPr>
            </w:pPr>
            <w:r>
              <w:rPr>
                <w:szCs w:val="21"/>
              </w:rPr>
              <w:t>GB 6566-2010</w:t>
            </w:r>
          </w:p>
        </w:tc>
      </w:tr>
      <w:tr w14:paraId="6D47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4521AD79">
            <w:pPr>
              <w:spacing w:line="560" w:lineRule="exact"/>
              <w:jc w:val="center"/>
              <w:rPr>
                <w:color w:val="000000"/>
                <w:szCs w:val="32"/>
              </w:rPr>
            </w:pPr>
            <w:r>
              <w:rPr>
                <w:rFonts w:hint="eastAsia"/>
                <w:color w:val="000000"/>
                <w:szCs w:val="32"/>
              </w:rPr>
              <w:t>9</w:t>
            </w:r>
          </w:p>
        </w:tc>
        <w:tc>
          <w:tcPr>
            <w:tcW w:w="2953" w:type="dxa"/>
            <w:noWrap/>
            <w:vAlign w:val="center"/>
          </w:tcPr>
          <w:p w14:paraId="4CEB217F">
            <w:pPr>
              <w:spacing w:line="560" w:lineRule="exact"/>
              <w:jc w:val="center"/>
              <w:rPr>
                <w:szCs w:val="21"/>
              </w:rPr>
            </w:pPr>
            <w:r>
              <w:rPr>
                <w:szCs w:val="21"/>
              </w:rPr>
              <w:t>保水率</w:t>
            </w:r>
          </w:p>
        </w:tc>
        <w:tc>
          <w:tcPr>
            <w:tcW w:w="4669" w:type="dxa"/>
            <w:noWrap/>
            <w:vAlign w:val="center"/>
          </w:tcPr>
          <w:p w14:paraId="4E8E3C88">
            <w:pPr>
              <w:spacing w:line="0" w:lineRule="atLeast"/>
              <w:jc w:val="center"/>
              <w:rPr>
                <w:szCs w:val="21"/>
              </w:rPr>
            </w:pPr>
            <w:r>
              <w:rPr>
                <w:rFonts w:hint="eastAsia"/>
                <w:szCs w:val="21"/>
              </w:rPr>
              <w:t>GB/T 3183-2017附录A</w:t>
            </w:r>
          </w:p>
        </w:tc>
      </w:tr>
    </w:tbl>
    <w:p w14:paraId="661E0331">
      <w:pPr>
        <w:spacing w:line="560" w:lineRule="exact"/>
        <w:ind w:firstLine="640"/>
        <w:rPr>
          <w:color w:val="000000"/>
          <w:szCs w:val="32"/>
        </w:rPr>
      </w:pPr>
      <w:r>
        <w:rPr>
          <w:color w:val="000000"/>
          <w:szCs w:val="32"/>
        </w:rPr>
        <w:t>执行企业标准、团体标准、地方标准的产品，检验项目参照上述内容执行。</w:t>
      </w:r>
    </w:p>
    <w:p w14:paraId="4B510629">
      <w:pPr>
        <w:spacing w:line="560" w:lineRule="exact"/>
        <w:ind w:firstLine="640"/>
        <w:rPr>
          <w:rFonts w:eastAsia="黑体"/>
          <w:color w:val="000000"/>
          <w:szCs w:val="32"/>
        </w:rPr>
      </w:pPr>
      <w:r>
        <w:rPr>
          <w:rFonts w:eastAsia="黑体"/>
          <w:color w:val="000000"/>
          <w:szCs w:val="32"/>
        </w:rPr>
        <w:t>3 判定规则</w:t>
      </w:r>
    </w:p>
    <w:p w14:paraId="353595B6">
      <w:pPr>
        <w:spacing w:line="560" w:lineRule="exact"/>
        <w:ind w:firstLine="640"/>
        <w:rPr>
          <w:color w:val="000000"/>
          <w:szCs w:val="32"/>
        </w:rPr>
      </w:pPr>
      <w:r>
        <w:rPr>
          <w:color w:val="000000"/>
          <w:szCs w:val="32"/>
        </w:rPr>
        <w:t>3.1依据标准</w:t>
      </w:r>
    </w:p>
    <w:p w14:paraId="3D02FE37">
      <w:pPr>
        <w:spacing w:line="560" w:lineRule="exact"/>
        <w:ind w:firstLine="640"/>
        <w:rPr>
          <w:rFonts w:hAnsi="宋体"/>
          <w:szCs w:val="21"/>
        </w:rPr>
      </w:pPr>
      <w:r>
        <w:rPr>
          <w:szCs w:val="21"/>
        </w:rPr>
        <w:t>GB 175-20</w:t>
      </w:r>
      <w:r>
        <w:rPr>
          <w:rFonts w:hint="eastAsia"/>
          <w:szCs w:val="21"/>
        </w:rPr>
        <w:t>23</w:t>
      </w:r>
      <w:r>
        <w:rPr>
          <w:szCs w:val="21"/>
        </w:rPr>
        <w:t xml:space="preserve"> </w:t>
      </w:r>
      <w:r>
        <w:rPr>
          <w:rFonts w:hAnsi="宋体"/>
          <w:szCs w:val="21"/>
        </w:rPr>
        <w:t>通用硅酸盐水泥</w:t>
      </w:r>
    </w:p>
    <w:p w14:paraId="4FE4A581">
      <w:pPr>
        <w:spacing w:line="560" w:lineRule="exact"/>
        <w:ind w:firstLine="614"/>
        <w:rPr>
          <w:rFonts w:hAnsi="宋体"/>
          <w:szCs w:val="21"/>
        </w:rPr>
      </w:pPr>
      <w:r>
        <w:rPr>
          <w:rFonts w:hint="eastAsia" w:hAnsi="宋体"/>
          <w:szCs w:val="21"/>
        </w:rPr>
        <w:t>GB/T 3183-2017</w:t>
      </w:r>
      <w:r>
        <w:rPr>
          <w:rFonts w:hAnsi="宋体"/>
          <w:szCs w:val="21"/>
        </w:rPr>
        <w:t xml:space="preserve"> </w:t>
      </w:r>
      <w:r>
        <w:rPr>
          <w:rFonts w:hint="eastAsia" w:hAnsi="宋体"/>
          <w:szCs w:val="21"/>
        </w:rPr>
        <w:t>砌筑水泥</w:t>
      </w:r>
    </w:p>
    <w:p w14:paraId="2653BC98">
      <w:pPr>
        <w:spacing w:line="560" w:lineRule="exact"/>
        <w:ind w:firstLine="614"/>
        <w:rPr>
          <w:rFonts w:hAnsi="宋体"/>
          <w:szCs w:val="21"/>
        </w:rPr>
      </w:pPr>
      <w:bookmarkStart w:id="0" w:name="_Hlk130375929"/>
      <w:r>
        <w:rPr>
          <w:rFonts w:hAnsi="宋体"/>
          <w:szCs w:val="21"/>
        </w:rPr>
        <w:t>GB 6566-2010 建筑材料放射性核素限量</w:t>
      </w:r>
      <w:bookmarkEnd w:id="0"/>
    </w:p>
    <w:p w14:paraId="4631EABD">
      <w:pPr>
        <w:spacing w:line="560" w:lineRule="exact"/>
        <w:ind w:firstLine="640"/>
        <w:rPr>
          <w:color w:val="000000"/>
          <w:szCs w:val="32"/>
        </w:rPr>
      </w:pPr>
      <w:r>
        <w:rPr>
          <w:color w:val="000000"/>
          <w:szCs w:val="32"/>
        </w:rPr>
        <w:t>现行有效的企业标准、团体标准、地方标准及产品明示质量要求。</w:t>
      </w:r>
    </w:p>
    <w:p w14:paraId="361BA8C1">
      <w:pPr>
        <w:spacing w:line="560" w:lineRule="exact"/>
        <w:ind w:firstLine="640"/>
        <w:rPr>
          <w:color w:val="000000"/>
          <w:szCs w:val="32"/>
        </w:rPr>
      </w:pPr>
      <w:r>
        <w:rPr>
          <w:color w:val="000000"/>
          <w:szCs w:val="32"/>
        </w:rPr>
        <w:t>3.2判定原则</w:t>
      </w:r>
    </w:p>
    <w:p w14:paraId="578456E1">
      <w:pPr>
        <w:spacing w:line="560" w:lineRule="exact"/>
        <w:ind w:firstLine="640"/>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592CBFCE">
      <w:pPr>
        <w:spacing w:line="560" w:lineRule="exact"/>
        <w:ind w:firstLine="637"/>
        <w:rPr>
          <w:color w:val="000000"/>
          <w:szCs w:val="32"/>
        </w:rPr>
      </w:pPr>
      <w:r>
        <w:rPr>
          <w:color w:val="000000"/>
          <w:szCs w:val="32"/>
        </w:rPr>
        <w:t>若被检产品明示的质量要求高于本细则中检验项目依据的标准要求时，应按被检产品明示的质量要求判定。</w:t>
      </w:r>
    </w:p>
    <w:p w14:paraId="34A107F0">
      <w:pPr>
        <w:spacing w:line="560" w:lineRule="exact"/>
        <w:ind w:firstLine="637"/>
        <w:rPr>
          <w:color w:val="000000"/>
          <w:szCs w:val="32"/>
        </w:rPr>
      </w:pPr>
      <w:r>
        <w:rPr>
          <w:color w:val="000000"/>
          <w:szCs w:val="32"/>
        </w:rPr>
        <w:t>若被检产品明示的质量要求低于本细则中检验项目依据的强制性标准要求时，应按照强制性标准要求判定。</w:t>
      </w:r>
    </w:p>
    <w:p w14:paraId="2C044C12">
      <w:pPr>
        <w:spacing w:line="560" w:lineRule="exact"/>
        <w:ind w:firstLine="637"/>
        <w:rPr>
          <w:color w:val="000000"/>
          <w:szCs w:val="32"/>
        </w:rPr>
      </w:pPr>
      <w:r>
        <w:rPr>
          <w:color w:val="000000"/>
          <w:szCs w:val="32"/>
        </w:rPr>
        <w:t>若被检产品明示的质量要求低于或包含本细则中检验项目依据的推荐性标准要求时，应以被检产品明示的质量要求判定。</w:t>
      </w:r>
    </w:p>
    <w:p w14:paraId="13477387">
      <w:pPr>
        <w:spacing w:line="560" w:lineRule="exact"/>
        <w:ind w:firstLine="637"/>
        <w:rPr>
          <w:color w:val="000000"/>
          <w:szCs w:val="32"/>
        </w:rPr>
      </w:pPr>
      <w:r>
        <w:rPr>
          <w:color w:val="000000"/>
          <w:szCs w:val="32"/>
        </w:rPr>
        <w:t>若被检产品明示的质量要求缺少本细则中检验项目依据的强制性标准要求时，应按照强制性标准要求判定。</w:t>
      </w:r>
    </w:p>
    <w:p w14:paraId="73614F75">
      <w:pPr>
        <w:spacing w:line="560" w:lineRule="exact"/>
        <w:ind w:firstLine="637"/>
        <w:rPr>
          <w:szCs w:val="32"/>
        </w:rPr>
      </w:pPr>
      <w:r>
        <w:rPr>
          <w:color w:val="000000"/>
          <w:szCs w:val="32"/>
        </w:rPr>
        <w:t>若被检产品明示的质量要求缺少本细则中检验项目依据的推荐性标准要求时，该项目不参与判定。</w:t>
      </w:r>
    </w:p>
    <w:sectPr>
      <w:pgSz w:w="11906" w:h="16838" w:orient="landscape"/>
      <w:pgMar w:top="2098" w:right="1474" w:bottom="1701" w:left="158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20202020204"/>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679CC"/>
    <w:rsid w:val="25E11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sz w:val="32"/>
      <w:szCs w:val="24"/>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Body Text Indent"/>
    <w:qFormat/>
    <w:uiPriority w:val="0"/>
    <w:pPr>
      <w:widowControl w:val="0"/>
      <w:spacing w:line="360" w:lineRule="auto"/>
      <w:ind w:firstLine="480"/>
      <w:jc w:val="both"/>
    </w:pPr>
    <w:rPr>
      <w:rFonts w:hint="default" w:ascii="宋体" w:hAnsi="宋体" w:eastAsia="宋体" w:cs="Times New Roman"/>
      <w:sz w:val="24"/>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185"/>
    <w:qFormat/>
    <w:uiPriority w:val="0"/>
    <w:pPr>
      <w:tabs>
        <w:tab w:val="center" w:pos="4153"/>
        <w:tab w:val="right" w:pos="8306"/>
      </w:tabs>
      <w:jc w:val="left"/>
    </w:pPr>
    <w:rPr>
      <w:sz w:val="18"/>
      <w:szCs w:val="18"/>
    </w:rPr>
  </w:style>
  <w:style w:type="paragraph" w:styleId="19">
    <w:name w:val="header"/>
    <w:basedOn w:val="1"/>
    <w:link w:val="184"/>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uiPriority w:val="39"/>
    <w:pPr>
      <w:spacing w:after="57"/>
      <w:ind w:left="0" w:right="0" w:firstLine="0"/>
    </w:pPr>
  </w:style>
  <w:style w:type="paragraph" w:styleId="21">
    <w:name w:val="toc 4"/>
    <w:basedOn w:val="1"/>
    <w:next w:val="1"/>
    <w:unhideWhenUsed/>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unhideWhenUsed/>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uiPriority w:val="99"/>
    <w:rPr>
      <w:vertAlign w:val="superscript"/>
    </w:rPr>
  </w:style>
  <w:style w:type="character" w:styleId="33">
    <w:name w:val="Hyperlink"/>
    <w:unhideWhenUsed/>
    <w:uiPriority w:val="99"/>
    <w:rPr>
      <w:color w:val="0563C1" w:themeColor="hyperlink"/>
      <w:u w:val="single"/>
      <w14:textFill>
        <w14:solidFill>
          <w14:schemeClr w14:val="hlink"/>
        </w14:solidFill>
      </w14:textFill>
    </w:rPr>
  </w:style>
  <w:style w:type="character" w:styleId="34">
    <w:name w:val="footnote reference"/>
    <w:basedOn w:val="31"/>
    <w:unhideWhenUsed/>
    <w:uiPriority w:val="99"/>
    <w:rPr>
      <w:vertAlign w:val="superscript"/>
    </w:rPr>
  </w:style>
  <w:style w:type="character" w:customStyle="1" w:styleId="35">
    <w:name w:val="Heading 1 Char"/>
    <w:basedOn w:val="31"/>
    <w:link w:val="2"/>
    <w:uiPriority w:val="9"/>
    <w:rPr>
      <w:rFonts w:ascii="等线" w:hAnsi="等线" w:eastAsia="等线" w:cs="等线"/>
      <w:sz w:val="40"/>
      <w:szCs w:val="40"/>
    </w:rPr>
  </w:style>
  <w:style w:type="character" w:customStyle="1" w:styleId="36">
    <w:name w:val="Heading 2 Char"/>
    <w:basedOn w:val="31"/>
    <w:link w:val="3"/>
    <w:uiPriority w:val="9"/>
    <w:rPr>
      <w:rFonts w:ascii="等线" w:hAnsi="等线" w:eastAsia="等线" w:cs="等线"/>
      <w:sz w:val="34"/>
    </w:rPr>
  </w:style>
  <w:style w:type="character" w:customStyle="1" w:styleId="37">
    <w:name w:val="Heading 3 Char"/>
    <w:basedOn w:val="31"/>
    <w:link w:val="4"/>
    <w:uiPriority w:val="9"/>
    <w:rPr>
      <w:rFonts w:ascii="等线" w:hAnsi="等线" w:eastAsia="等线" w:cs="等线"/>
      <w:sz w:val="30"/>
      <w:szCs w:val="30"/>
    </w:rPr>
  </w:style>
  <w:style w:type="character" w:customStyle="1" w:styleId="38">
    <w:name w:val="Heading 4 Char"/>
    <w:basedOn w:val="31"/>
    <w:link w:val="5"/>
    <w:uiPriority w:val="9"/>
    <w:rPr>
      <w:rFonts w:ascii="等线" w:hAnsi="等线" w:eastAsia="等线" w:cs="等线"/>
      <w:b/>
      <w:bCs/>
      <w:sz w:val="26"/>
      <w:szCs w:val="26"/>
    </w:rPr>
  </w:style>
  <w:style w:type="character" w:customStyle="1" w:styleId="39">
    <w:name w:val="Heading 5 Char"/>
    <w:basedOn w:val="31"/>
    <w:link w:val="6"/>
    <w:uiPriority w:val="9"/>
    <w:rPr>
      <w:rFonts w:ascii="等线" w:hAnsi="等线" w:eastAsia="等线" w:cs="等线"/>
      <w:b/>
      <w:bCs/>
      <w:sz w:val="24"/>
      <w:szCs w:val="24"/>
    </w:rPr>
  </w:style>
  <w:style w:type="character" w:customStyle="1" w:styleId="40">
    <w:name w:val="Heading 6 Char"/>
    <w:basedOn w:val="31"/>
    <w:link w:val="7"/>
    <w:uiPriority w:val="9"/>
    <w:rPr>
      <w:rFonts w:ascii="等线" w:hAnsi="等线" w:eastAsia="等线" w:cs="等线"/>
      <w:b/>
      <w:bCs/>
      <w:sz w:val="22"/>
      <w:szCs w:val="22"/>
    </w:rPr>
  </w:style>
  <w:style w:type="character" w:customStyle="1" w:styleId="41">
    <w:name w:val="Heading 7 Char"/>
    <w:basedOn w:val="31"/>
    <w:link w:val="8"/>
    <w:uiPriority w:val="9"/>
    <w:rPr>
      <w:rFonts w:ascii="等线" w:hAnsi="等线" w:eastAsia="等线" w:cs="等线"/>
      <w:b/>
      <w:bCs/>
      <w:i/>
      <w:iCs/>
      <w:sz w:val="22"/>
      <w:szCs w:val="22"/>
    </w:rPr>
  </w:style>
  <w:style w:type="character" w:customStyle="1" w:styleId="42">
    <w:name w:val="Heading 8 Char"/>
    <w:basedOn w:val="31"/>
    <w:link w:val="9"/>
    <w:uiPriority w:val="9"/>
    <w:rPr>
      <w:rFonts w:ascii="等线" w:hAnsi="等线" w:eastAsia="等线" w:cs="等线"/>
      <w:i/>
      <w:iCs/>
      <w:sz w:val="22"/>
      <w:szCs w:val="22"/>
    </w:rPr>
  </w:style>
  <w:style w:type="character" w:customStyle="1" w:styleId="43">
    <w:name w:val="Heading 9 Char"/>
    <w:basedOn w:val="31"/>
    <w:link w:val="10"/>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uiPriority w:val="10"/>
    <w:rPr>
      <w:sz w:val="48"/>
      <w:szCs w:val="48"/>
    </w:rPr>
  </w:style>
  <w:style w:type="character" w:customStyle="1" w:styleId="47">
    <w:name w:val="Subtitle Char"/>
    <w:basedOn w:val="31"/>
    <w:link w:val="22"/>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basedOn w:val="31"/>
    <w:uiPriority w:val="99"/>
  </w:style>
  <w:style w:type="character" w:customStyle="1" w:styleId="53">
    <w:name w:val="Footer Char"/>
    <w:basedOn w:val="31"/>
    <w:uiPriority w:val="99"/>
  </w:style>
  <w:style w:type="character" w:customStyle="1" w:styleId="54">
    <w:name w:val="Caption Char"/>
    <w:uiPriority w:val="99"/>
  </w:style>
  <w:style w:type="table" w:customStyle="1" w:styleId="55">
    <w:name w:val="Table Grid Light"/>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0">
    <w:name w:val="Grid Table 2 - Accent 2"/>
    <w:basedOn w:val="29"/>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1">
    <w:name w:val="Grid Table 2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2">
    <w:name w:val="Grid Table 2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3">
    <w:name w:val="Grid Table 2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4">
    <w:name w:val="Grid Table 2 - Accent 6"/>
    <w:basedOn w:val="29"/>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5">
    <w:name w:val="Grid Table 3"/>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7">
    <w:name w:val="Grid Table 3 - Accent 2"/>
    <w:basedOn w:val="29"/>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8">
    <w:name w:val="Grid Table 3 - Accent 3"/>
    <w:basedOn w:val="29"/>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9">
    <w:name w:val="Grid Table 3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0">
    <w:name w:val="Grid Table 3 - Accent 5"/>
    <w:basedOn w:val="29"/>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1">
    <w:name w:val="Grid Table 3 - Accent 6"/>
    <w:basedOn w:val="29"/>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4">
    <w:name w:val="Grid Table 4 - Accent 2"/>
    <w:basedOn w:val="29"/>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5">
    <w:name w:val="Grid Table 4 - Accent 3"/>
    <w:basedOn w:val="29"/>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6">
    <w:name w:val="Grid Table 4 - Accent 4"/>
    <w:basedOn w:val="29"/>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7">
    <w:name w:val="Grid Table 4 - Accent 5"/>
    <w:basedOn w:val="29"/>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8">
    <w:name w:val="Grid Table 4 - Accent 6"/>
    <w:basedOn w:val="29"/>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6">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6 Colorful - Accent 6"/>
    <w:basedOn w:val="29"/>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3">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9">
    <w:name w:val="Grid Table 7 Colorful - Accent 6"/>
    <w:basedOn w:val="29"/>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0">
    <w:name w:val="List Table 1 Light"/>
    <w:basedOn w:val="29"/>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7">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9">
    <w:name w:val="List Table 2 - Accent 2"/>
    <w:basedOn w:val="29"/>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0">
    <w:name w:val="List Table 2 - Accent 3"/>
    <w:basedOn w:val="29"/>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1">
    <w:name w:val="List Table 2 - Accent 4"/>
    <w:basedOn w:val="29"/>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2">
    <w:name w:val="List Table 2 - Accent 5"/>
    <w:basedOn w:val="29"/>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3">
    <w:name w:val="List Table 2 - Accent 6"/>
    <w:basedOn w:val="29"/>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4">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3">
    <w:name w:val="List Table 4 - Accent 2"/>
    <w:basedOn w:val="29"/>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4">
    <w:name w:val="List Table 4 - Accent 3"/>
    <w:basedOn w:val="29"/>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5">
    <w:name w:val="List Table 4 - Accent 4"/>
    <w:basedOn w:val="29"/>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6">
    <w:name w:val="List Table 4 - Accent 5"/>
    <w:basedOn w:val="29"/>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7">
    <w:name w:val="List Table 4 - Accent 6"/>
    <w:basedOn w:val="29"/>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40">
    <w:name w:val="List Table 5 Dark - Accent 2"/>
    <w:basedOn w:val="29"/>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1">
    <w:name w:val="List Table 5 Dark - Accent 3"/>
    <w:basedOn w:val="29"/>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2">
    <w:name w:val="List Table 5 Dark - Accent 4"/>
    <w:basedOn w:val="29"/>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3">
    <w:name w:val="List Table 5 Dark - Accent 5"/>
    <w:basedOn w:val="29"/>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4">
    <w:name w:val="List Table 5 Dark - Accent 6"/>
    <w:basedOn w:val="29"/>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7">
    <w:name w:val="List Table 6 Colorful - Accent 2"/>
    <w:basedOn w:val="29"/>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4">
    <w:name w:val="List Table 7 Colorful - Accent 2"/>
    <w:basedOn w:val="29"/>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3">
    <w:name w:val="Lined - Accent 4"/>
    <w:basedOn w:val="29"/>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4">
    <w:name w:val="Lined - Accent 5"/>
    <w:basedOn w:val="29"/>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5">
    <w:name w:val="Lined - Accent 6"/>
    <w:basedOn w:val="29"/>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6">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8">
    <w:name w:val="Bordered &amp; Lined - Accent 2"/>
    <w:basedOn w:val="29"/>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9">
    <w:name w:val="Bordered &amp; Lined - Accent 3"/>
    <w:basedOn w:val="29"/>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70">
    <w:name w:val="Bordered &amp; Lined - Accent 4"/>
    <w:basedOn w:val="29"/>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1">
    <w:name w:val="Bordered &amp; Lined - Accent 5"/>
    <w:basedOn w:val="29"/>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2">
    <w:name w:val="Bordered &amp; Lined - Accent 6"/>
    <w:basedOn w:val="29"/>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3">
    <w:name w:val="Bordered"/>
    <w:basedOn w:val="29"/>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 w:type="table" w:customStyle="1" w:styleId="183">
    <w:name w:val="Table Grid_0"/>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4">
    <w:name w:val="页眉 Char"/>
    <w:basedOn w:val="31"/>
    <w:link w:val="19"/>
    <w:qFormat/>
    <w:uiPriority w:val="0"/>
    <w:rPr>
      <w:rFonts w:ascii="Times New Roman" w:hAnsi="Times New Roman" w:eastAsia="仿宋_GB2312" w:cs="Times New Roman"/>
      <w:sz w:val="18"/>
      <w:szCs w:val="18"/>
    </w:rPr>
  </w:style>
  <w:style w:type="character" w:customStyle="1" w:styleId="185">
    <w:name w:val="页脚 Char"/>
    <w:basedOn w:val="31"/>
    <w:link w:val="18"/>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省市场监督管理局</Company>
  <Pages>3</Pages>
  <Words>893</Words>
  <Characters>1192</Characters>
  <TotalTime>0</TotalTime>
  <ScaleCrop>false</ScaleCrop>
  <LinksUpToDate>false</LinksUpToDate>
  <CharactersWithSpaces>1225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2024-06-17T09:27:00Z</dcterms:created>
  <dc:creator>金俊敏</dc:creator>
  <cp:lastModifiedBy>刘金棠</cp:lastModifiedBy>
  <dcterms:modified xsi:type="dcterms:W3CDTF">2025-07-23T06:59:52Z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EEB7D2F28E184F5BAAA70EE8C8C282E8</vt:lpwstr>
  </property>
  <property fmtid="{D5CDD505-2E9C-101B-9397-08002B2CF9AE}" pid="4" name="KSOTemplateDocerSaveRecord">
    <vt:lpwstr>eyJoZGlkIjoiYTljNmExOTYxMTg0MTAzZTI2YThhOWQ3ZmRjMzUxODIifQ==</vt:lpwstr>
  </property>
</Properties>
</file>