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9987B">
      <w:pPr>
        <w:pStyle w:val="8"/>
        <w:keepNext w:val="0"/>
        <w:keepLines w:val="0"/>
        <w:pageBreakBefore w:val="0"/>
        <w:widowControl/>
        <w:kinsoku/>
        <w:overflowPunct/>
        <w:topLinePunct w:val="0"/>
        <w:autoSpaceDE w:val="0"/>
        <w:autoSpaceDN/>
        <w:bidi w:val="0"/>
        <w:snapToGrid/>
        <w:spacing w:beforeAutospacing="0" w:afterAutospacing="0" w:line="560" w:lineRule="exact"/>
        <w:jc w:val="both"/>
        <w:textAlignment w:val="auto"/>
        <w:rPr>
          <w:ins w:id="0" w:author="lee" w:date="2025-06-25T10:52:43Z"/>
          <w:rFonts w:hint="eastAsia" w:ascii="仿宋_GB2312" w:hAnsi="仿宋_GB2312" w:eastAsia="仿宋_GB2312" w:cs="仿宋_GB2312"/>
          <w:b w:val="0"/>
          <w:bCs w:val="0"/>
          <w:color w:val="auto"/>
          <w:kern w:val="0"/>
          <w:sz w:val="32"/>
          <w:szCs w:val="32"/>
          <w:lang w:val="en-US" w:eastAsia="zh-CN"/>
        </w:rPr>
      </w:pPr>
      <w:ins w:id="1" w:author="lee" w:date="2025-06-25T10:52:51Z">
        <w:r>
          <w:rPr>
            <w:rFonts w:hint="eastAsia" w:ascii="仿宋_GB2312" w:hAnsi="仿宋_GB2312" w:eastAsia="仿宋_GB2312" w:cs="仿宋_GB2312"/>
            <w:b w:val="0"/>
            <w:bCs w:val="0"/>
            <w:color w:val="auto"/>
            <w:kern w:val="0"/>
            <w:sz w:val="32"/>
            <w:szCs w:val="32"/>
            <w:lang w:val="en-US" w:eastAsia="zh-CN"/>
          </w:rPr>
          <w:t>附件</w:t>
        </w:r>
      </w:ins>
    </w:p>
    <w:p w14:paraId="31722E50">
      <w:pPr>
        <w:pStyle w:val="8"/>
        <w:keepNext w:val="0"/>
        <w:keepLines w:val="0"/>
        <w:pageBreakBefore w:val="0"/>
        <w:widowControl/>
        <w:kinsoku/>
        <w:overflowPunct/>
        <w:topLinePunct w:val="0"/>
        <w:autoSpaceDE w:val="0"/>
        <w:autoSpaceDN/>
        <w:bidi w:val="0"/>
        <w:snapToGrid/>
        <w:spacing w:beforeAutospacing="0" w:afterAutospacing="0" w:line="560" w:lineRule="exact"/>
        <w:jc w:val="center"/>
        <w:textAlignment w:val="auto"/>
        <w:rPr>
          <w:ins w:id="2" w:author="lee" w:date="2025-06-25T10:52:44Z"/>
          <w:rFonts w:hint="default" w:ascii="方正小标宋简体" w:hAnsi="方正小标宋简体" w:eastAsia="方正小标宋简体" w:cs="方正小标宋简体"/>
          <w:b w:val="0"/>
          <w:bCs w:val="0"/>
          <w:color w:val="auto"/>
          <w:kern w:val="0"/>
          <w:sz w:val="44"/>
          <w:szCs w:val="44"/>
        </w:rPr>
      </w:pPr>
    </w:p>
    <w:p w14:paraId="62EBBD9B">
      <w:pPr>
        <w:pStyle w:val="8"/>
        <w:keepNext w:val="0"/>
        <w:keepLines w:val="0"/>
        <w:pageBreakBefore w:val="0"/>
        <w:widowControl/>
        <w:kinsoku/>
        <w:overflowPunct/>
        <w:topLinePunct w:val="0"/>
        <w:autoSpaceDE w:val="0"/>
        <w:autoSpaceDN/>
        <w:bidi w:val="0"/>
        <w:snapToGrid/>
        <w:spacing w:beforeAutospacing="0" w:afterAutospacing="0" w:line="560" w:lineRule="exact"/>
        <w:jc w:val="center"/>
        <w:textAlignment w:val="auto"/>
        <w:rPr>
          <w:rFonts w:hint="default" w:ascii="Times New Roman" w:hAnsi="Times New Roman" w:eastAsia="方正小标宋简体" w:cs="Times New Roman"/>
          <w:b w:val="0"/>
          <w:bCs w:val="0"/>
          <w:color w:val="auto"/>
          <w:kern w:val="0"/>
          <w:sz w:val="44"/>
          <w:szCs w:val="44"/>
        </w:rPr>
      </w:pPr>
      <w:r>
        <w:rPr>
          <w:rFonts w:hint="default" w:ascii="方正小标宋简体" w:hAnsi="方正小标宋简体" w:eastAsia="方正小标宋简体" w:cs="方正小标宋简体"/>
          <w:b w:val="0"/>
          <w:bCs w:val="0"/>
          <w:color w:val="auto"/>
          <w:kern w:val="0"/>
          <w:sz w:val="44"/>
          <w:szCs w:val="44"/>
        </w:rPr>
        <w:t>云浮市长期护理保险试行办法</w:t>
      </w:r>
    </w:p>
    <w:p w14:paraId="126F4C6B">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jc w:val="center"/>
        <w:textAlignment w:val="auto"/>
        <w:outlineLvl w:val="0"/>
        <w:rPr>
          <w:rFonts w:hint="default" w:ascii="Times New Roman" w:hAnsi="Times New Roman" w:eastAsia="方正小标宋简体" w:cs="Times New Roman"/>
          <w:b w:val="0"/>
          <w:bCs w:val="0"/>
          <w:color w:val="auto"/>
          <w:kern w:val="0"/>
          <w:sz w:val="44"/>
          <w:szCs w:val="44"/>
        </w:rPr>
      </w:pPr>
      <w:r>
        <w:rPr>
          <w:rFonts w:hint="default" w:ascii="方正小标宋简体" w:hAnsi="方正小标宋简体" w:eastAsia="方正小标宋简体" w:cs="方正小标宋简体"/>
          <w:b w:val="0"/>
          <w:bCs w:val="0"/>
          <w:color w:val="auto"/>
          <w:kern w:val="0"/>
          <w:sz w:val="44"/>
          <w:szCs w:val="44"/>
          <w:lang w:val="en-US" w:eastAsia="zh-CN" w:bidi="ar"/>
        </w:rPr>
        <w:t>（征求意见稿）</w:t>
      </w:r>
    </w:p>
    <w:p w14:paraId="4777B232">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jc w:val="both"/>
        <w:textAlignment w:val="auto"/>
        <w:outlineLvl w:val="0"/>
        <w:rPr>
          <w:rFonts w:hint="default" w:ascii="Times New Roman" w:hAnsi="Times New Roman" w:eastAsia="方正小标宋简体" w:cs="Times New Roman"/>
          <w:b w:val="0"/>
          <w:bCs w:val="0"/>
          <w:color w:val="auto"/>
          <w:kern w:val="0"/>
          <w:sz w:val="44"/>
          <w:szCs w:val="44"/>
        </w:rPr>
      </w:pPr>
      <w:r>
        <w:rPr>
          <w:rFonts w:hint="default" w:ascii="Times New Roman" w:hAnsi="Times New Roman" w:eastAsia="方正小标宋简体" w:cs="Times New Roman"/>
          <w:b w:val="0"/>
          <w:bCs w:val="0"/>
          <w:color w:val="auto"/>
          <w:kern w:val="0"/>
          <w:sz w:val="44"/>
          <w:szCs w:val="44"/>
          <w:lang w:val="en-US" w:eastAsia="zh-CN" w:bidi="ar"/>
        </w:rPr>
        <w:t xml:space="preserve"> </w:t>
      </w:r>
    </w:p>
    <w:p w14:paraId="64C4C207">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Chars="0"/>
        <w:jc w:val="center"/>
        <w:textAlignment w:val="auto"/>
        <w:outlineLvl w:val="0"/>
        <w:rPr>
          <w:rFonts w:hint="eastAsia" w:ascii="黑体" w:hAnsi="宋体" w:eastAsia="黑体" w:cs="黑体"/>
          <w:b w:val="0"/>
          <w:bCs w:val="0"/>
          <w:i w:val="0"/>
          <w:iCs w:val="0"/>
          <w:caps w:val="0"/>
          <w:color w:val="auto"/>
          <w:spacing w:val="0"/>
          <w:sz w:val="32"/>
          <w:szCs w:val="32"/>
        </w:rPr>
      </w:pPr>
      <w:r>
        <w:rPr>
          <w:rStyle w:val="7"/>
          <w:rFonts w:hint="eastAsia" w:ascii="黑体" w:hAnsi="宋体" w:eastAsia="黑体" w:cs="黑体"/>
          <w:b w:val="0"/>
          <w:bCs w:val="0"/>
          <w:i w:val="0"/>
          <w:iCs w:val="0"/>
          <w:caps w:val="0"/>
          <w:color w:val="auto"/>
          <w:spacing w:val="0"/>
          <w:sz w:val="32"/>
          <w:szCs w:val="32"/>
          <w:lang w:val="en-US" w:eastAsia="zh-CN" w:bidi="ar"/>
        </w:rPr>
        <w:t>第一章 总则</w:t>
      </w:r>
    </w:p>
    <w:p w14:paraId="1A5A5BF7">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outlineLvl w:val="0"/>
        <w:rPr>
          <w:rStyle w:val="7"/>
          <w:rFonts w:hint="eastAsia" w:ascii="黑体" w:hAnsi="宋体" w:eastAsia="黑体" w:cs="黑体"/>
          <w:b w:val="0"/>
          <w:bCs/>
          <w:i w:val="0"/>
          <w:iCs w:val="0"/>
          <w:caps w:val="0"/>
          <w:color w:val="auto"/>
          <w:spacing w:val="0"/>
          <w:sz w:val="32"/>
          <w:szCs w:val="32"/>
          <w:lang w:val="en-US" w:eastAsia="zh-CN" w:bidi="ar"/>
        </w:rPr>
      </w:pPr>
    </w:p>
    <w:p w14:paraId="0176A82C">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outlineLvl w:val="0"/>
        <w:rPr>
          <w:rFonts w:hint="eastAsia" w:ascii="仿宋" w:hAnsi="仿宋" w:eastAsia="仿宋" w:cs="仿宋"/>
          <w:i w:val="0"/>
          <w:iCs w:val="0"/>
          <w:caps w:val="0"/>
          <w:color w:val="auto"/>
          <w:spacing w:val="0"/>
          <w:kern w:val="0"/>
          <w:sz w:val="32"/>
          <w:szCs w:val="32"/>
        </w:rPr>
      </w:pPr>
      <w:r>
        <w:rPr>
          <w:rStyle w:val="7"/>
          <w:rFonts w:hint="eastAsia" w:ascii="黑体" w:hAnsi="宋体" w:eastAsia="黑体" w:cs="黑体"/>
          <w:b w:val="0"/>
          <w:bCs/>
          <w:i w:val="0"/>
          <w:iCs w:val="0"/>
          <w:caps w:val="0"/>
          <w:color w:val="auto"/>
          <w:spacing w:val="0"/>
          <w:sz w:val="32"/>
          <w:szCs w:val="32"/>
          <w:lang w:val="en-US" w:eastAsia="zh-CN" w:bidi="ar"/>
        </w:rPr>
        <w:t xml:space="preserve">第一条 </w:t>
      </w:r>
      <w:r>
        <w:rPr>
          <w:rFonts w:hint="eastAsia" w:ascii="仿宋_GB2312" w:hAnsi="仿宋_GB2312" w:eastAsia="仿宋_GB2312" w:cs="仿宋_GB2312"/>
          <w:i w:val="0"/>
          <w:iCs w:val="0"/>
          <w:caps w:val="0"/>
          <w:color w:val="auto"/>
          <w:spacing w:val="0"/>
          <w:kern w:val="0"/>
          <w:sz w:val="32"/>
          <w:szCs w:val="32"/>
          <w:lang w:val="en-US" w:eastAsia="zh-CN" w:bidi="ar"/>
        </w:rPr>
        <w:t>为贯彻落实党的二十大关于健全多层次社会保障体系的决策部署，积极应对人口老龄化，保障重度失能人员基本护理需求，根据</w:t>
      </w:r>
      <w:r>
        <w:rPr>
          <w:rFonts w:hint="eastAsia" w:ascii="仿宋_GB2312" w:hAnsi="仿宋_GB2312" w:eastAsia="仿宋_GB2312" w:cs="仿宋_GB2312"/>
          <w:i w:val="0"/>
          <w:iCs w:val="0"/>
          <w:caps w:val="0"/>
          <w:color w:val="auto"/>
          <w:spacing w:val="0"/>
          <w:kern w:val="0"/>
          <w:sz w:val="32"/>
          <w:szCs w:val="32"/>
          <w:highlight w:val="none"/>
          <w:lang w:val="en-US" w:eastAsia="zh-CN" w:bidi="ar"/>
        </w:rPr>
        <w:t>《中华人民共和国社会保险法》《国家医保局 财政部关于扩大长期护理保险制度试点的指导意见》（医保发〔2020〕37号）</w:t>
      </w:r>
      <w:r>
        <w:rPr>
          <w:rFonts w:hint="eastAsia" w:ascii="仿宋_GB2312" w:hAnsi="仿宋_GB2312" w:eastAsia="仿宋_GB2312" w:cs="仿宋_GB2312"/>
          <w:color w:val="auto"/>
          <w:sz w:val="32"/>
          <w:szCs w:val="32"/>
          <w:highlight w:val="none"/>
          <w:shd w:val="clear" w:color="auto" w:fill="FFFFFF"/>
          <w:lang w:eastAsia="zh-CN"/>
        </w:rPr>
        <w:t>等</w:t>
      </w:r>
      <w:r>
        <w:rPr>
          <w:rFonts w:hint="eastAsia" w:ascii="仿宋_GB2312" w:hAnsi="仿宋_GB2312" w:eastAsia="仿宋_GB2312" w:cs="仿宋_GB2312"/>
          <w:color w:val="auto"/>
          <w:sz w:val="32"/>
          <w:szCs w:val="32"/>
          <w:shd w:val="clear" w:color="auto" w:fill="FFFFFF"/>
          <w:lang w:eastAsia="zh-CN"/>
        </w:rPr>
        <w:t>文件精神</w:t>
      </w:r>
      <w:r>
        <w:rPr>
          <w:rFonts w:hint="eastAsia" w:ascii="仿宋_GB2312" w:hAnsi="仿宋_GB2312" w:eastAsia="仿宋_GB2312" w:cs="仿宋_GB2312"/>
          <w:i w:val="0"/>
          <w:iCs w:val="0"/>
          <w:caps w:val="0"/>
          <w:color w:val="auto"/>
          <w:spacing w:val="0"/>
          <w:kern w:val="0"/>
          <w:sz w:val="32"/>
          <w:szCs w:val="32"/>
          <w:lang w:val="en-US" w:eastAsia="zh-CN" w:bidi="ar"/>
        </w:rPr>
        <w:t>，结合本市实际，制定本办法。</w:t>
      </w:r>
    </w:p>
    <w:p w14:paraId="28825635">
      <w:pPr>
        <w:pStyle w:val="4"/>
        <w:keepNext w:val="0"/>
        <w:keepLines w:val="0"/>
        <w:pageBreakBefore w:val="0"/>
        <w:widowControl/>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Style w:val="7"/>
          <w:rFonts w:hint="eastAsia" w:ascii="仿宋_GB2312" w:hAnsi="仿宋_GB2312" w:eastAsia="仿宋_GB2312" w:cs="仿宋_GB2312"/>
          <w:b w:val="0"/>
          <w:bCs/>
          <w:i w:val="0"/>
          <w:iCs w:val="0"/>
          <w:caps w:val="0"/>
          <w:color w:val="auto"/>
          <w:spacing w:val="0"/>
          <w:sz w:val="32"/>
          <w:szCs w:val="32"/>
          <w:lang w:val="en-US" w:eastAsia="zh-CN" w:bidi="ar"/>
        </w:rPr>
      </w:pPr>
      <w:r>
        <w:rPr>
          <w:rStyle w:val="7"/>
          <w:rFonts w:hint="eastAsia" w:ascii="黑体" w:hAnsi="宋体" w:eastAsia="黑体" w:cs="黑体"/>
          <w:b w:val="0"/>
          <w:bCs/>
          <w:i w:val="0"/>
          <w:iCs w:val="0"/>
          <w:caps w:val="0"/>
          <w:color w:val="auto"/>
          <w:spacing w:val="0"/>
          <w:sz w:val="32"/>
          <w:szCs w:val="32"/>
          <w:lang w:val="en-US" w:eastAsia="zh-CN" w:bidi="ar"/>
        </w:rPr>
        <w:t xml:space="preserve">第二条 </w:t>
      </w:r>
      <w:r>
        <w:rPr>
          <w:rStyle w:val="7"/>
          <w:rFonts w:hint="eastAsia" w:ascii="仿宋_GB2312" w:hAnsi="仿宋_GB2312" w:eastAsia="仿宋_GB2312" w:cs="仿宋_GB2312"/>
          <w:b w:val="0"/>
          <w:bCs/>
          <w:i w:val="0"/>
          <w:iCs w:val="0"/>
          <w:caps w:val="0"/>
          <w:color w:val="auto"/>
          <w:spacing w:val="0"/>
          <w:sz w:val="32"/>
          <w:szCs w:val="32"/>
          <w:lang w:val="en-US" w:eastAsia="zh-CN" w:bidi="ar"/>
        </w:rPr>
        <w:t>本办法所称长期护理保险（以下简称长护险），是以互助共济方式筹集资金，重点解决长期重度失能人员基本护理保障需求，为长期重度失能人员的基本生活照料和医疗护理提供服务保障的社会保险制度。</w:t>
      </w:r>
    </w:p>
    <w:p w14:paraId="2FC3A31D">
      <w:pPr>
        <w:pStyle w:val="4"/>
        <w:keepNext w:val="0"/>
        <w:keepLines w:val="0"/>
        <w:pageBreakBefore w:val="0"/>
        <w:widowControl/>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i w:val="0"/>
          <w:iCs w:val="0"/>
          <w:caps w:val="0"/>
          <w:color w:val="auto"/>
          <w:spacing w:val="0"/>
          <w:sz w:val="32"/>
          <w:szCs w:val="32"/>
        </w:rPr>
      </w:pPr>
      <w:r>
        <w:rPr>
          <w:rStyle w:val="7"/>
          <w:rFonts w:hint="eastAsia" w:ascii="仿宋_GB2312" w:hAnsi="仿宋_GB2312" w:eastAsia="仿宋_GB2312" w:cs="仿宋_GB2312"/>
          <w:b w:val="0"/>
          <w:bCs/>
          <w:i w:val="0"/>
          <w:iCs w:val="0"/>
          <w:caps w:val="0"/>
          <w:color w:val="auto"/>
          <w:spacing w:val="0"/>
          <w:sz w:val="32"/>
          <w:szCs w:val="32"/>
          <w:lang w:val="en-US" w:eastAsia="zh-CN" w:bidi="ar"/>
        </w:rPr>
        <w:t>我市长护险从职工基本医疗保险</w:t>
      </w:r>
      <w:r>
        <w:rPr>
          <w:rStyle w:val="7"/>
          <w:rFonts w:hint="eastAsia" w:ascii="仿宋_GB2312" w:hAnsi="仿宋_GB2312" w:eastAsia="仿宋_GB2312" w:cs="仿宋_GB2312"/>
          <w:b w:val="0"/>
          <w:bCs/>
          <w:i w:val="0"/>
          <w:iCs w:val="0"/>
          <w:caps w:val="0"/>
          <w:color w:val="auto"/>
          <w:spacing w:val="0"/>
          <w:sz w:val="32"/>
          <w:szCs w:val="32"/>
          <w:highlight w:val="none"/>
          <w:lang w:val="en-US" w:eastAsia="zh-CN" w:bidi="ar"/>
        </w:rPr>
        <w:t>参保人员</w:t>
      </w:r>
      <w:r>
        <w:rPr>
          <w:rStyle w:val="7"/>
          <w:rFonts w:hint="eastAsia" w:ascii="仿宋_GB2312" w:hAnsi="仿宋_GB2312" w:eastAsia="仿宋_GB2312" w:cs="仿宋_GB2312"/>
          <w:b w:val="0"/>
          <w:bCs/>
          <w:i w:val="0"/>
          <w:iCs w:val="0"/>
          <w:caps w:val="0"/>
          <w:color w:val="auto"/>
          <w:spacing w:val="0"/>
          <w:sz w:val="32"/>
          <w:szCs w:val="32"/>
          <w:lang w:val="en-US" w:eastAsia="zh-CN" w:bidi="ar"/>
        </w:rPr>
        <w:t>起步，综合考虑经济发展水平、资金筹集能力和保障需求等因素，逐步将长护险参保范围扩大到城乡居民基本医疗保险</w:t>
      </w:r>
      <w:r>
        <w:rPr>
          <w:rStyle w:val="7"/>
          <w:rFonts w:hint="eastAsia" w:ascii="仿宋_GB2312" w:hAnsi="仿宋_GB2312" w:eastAsia="仿宋_GB2312" w:cs="仿宋_GB2312"/>
          <w:b w:val="0"/>
          <w:bCs/>
          <w:i w:val="0"/>
          <w:iCs w:val="0"/>
          <w:caps w:val="0"/>
          <w:color w:val="auto"/>
          <w:spacing w:val="0"/>
          <w:sz w:val="32"/>
          <w:szCs w:val="32"/>
          <w:highlight w:val="none"/>
          <w:lang w:val="en-US" w:eastAsia="zh-CN" w:bidi="ar"/>
        </w:rPr>
        <w:t>参保人员</w:t>
      </w:r>
      <w:r>
        <w:rPr>
          <w:rStyle w:val="7"/>
          <w:rFonts w:hint="eastAsia" w:ascii="仿宋_GB2312" w:hAnsi="仿宋_GB2312" w:eastAsia="仿宋_GB2312" w:cs="仿宋_GB2312"/>
          <w:b w:val="0"/>
          <w:bCs/>
          <w:i w:val="0"/>
          <w:iCs w:val="0"/>
          <w:caps w:val="0"/>
          <w:color w:val="auto"/>
          <w:spacing w:val="0"/>
          <w:sz w:val="32"/>
          <w:szCs w:val="32"/>
          <w:lang w:val="en-US" w:eastAsia="zh-CN" w:bidi="ar"/>
        </w:rPr>
        <w:t>。</w:t>
      </w:r>
    </w:p>
    <w:p w14:paraId="43D29F23">
      <w:pPr>
        <w:pStyle w:val="4"/>
        <w:keepNext w:val="0"/>
        <w:keepLines w:val="0"/>
        <w:pageBreakBefore w:val="0"/>
        <w:widowControl/>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i w:val="0"/>
          <w:iCs w:val="0"/>
          <w:caps w:val="0"/>
          <w:color w:val="auto"/>
          <w:spacing w:val="0"/>
          <w:sz w:val="32"/>
          <w:szCs w:val="32"/>
        </w:rPr>
      </w:pPr>
      <w:r>
        <w:rPr>
          <w:rStyle w:val="7"/>
          <w:rFonts w:hint="eastAsia" w:ascii="黑体" w:hAnsi="宋体" w:eastAsia="黑体" w:cs="黑体"/>
          <w:b w:val="0"/>
          <w:bCs/>
          <w:i w:val="0"/>
          <w:iCs w:val="0"/>
          <w:caps w:val="0"/>
          <w:color w:val="auto"/>
          <w:spacing w:val="0"/>
          <w:sz w:val="32"/>
          <w:szCs w:val="32"/>
          <w:lang w:val="en-US" w:eastAsia="zh-CN" w:bidi="ar"/>
        </w:rPr>
        <w:t xml:space="preserve">第三条 </w:t>
      </w:r>
      <w:r>
        <w:rPr>
          <w:rStyle w:val="7"/>
          <w:rFonts w:hint="eastAsia" w:ascii="仿宋_GB2312" w:hAnsi="仿宋_GB2312" w:eastAsia="仿宋_GB2312" w:cs="仿宋_GB2312"/>
          <w:b w:val="0"/>
          <w:bCs/>
          <w:i w:val="0"/>
          <w:iCs w:val="0"/>
          <w:caps w:val="0"/>
          <w:color w:val="auto"/>
          <w:spacing w:val="0"/>
          <w:sz w:val="32"/>
          <w:szCs w:val="32"/>
          <w:lang w:val="en-US" w:eastAsia="zh-CN" w:bidi="ar"/>
        </w:rPr>
        <w:t>本办法适用于本市行政区域内长护险的参保筹资、待遇享受、管理及经办服务等相关事项。</w:t>
      </w:r>
    </w:p>
    <w:p w14:paraId="7B22EAEE">
      <w:pPr>
        <w:pStyle w:val="4"/>
        <w:keepNext w:val="0"/>
        <w:keepLines w:val="0"/>
        <w:pageBreakBefore w:val="0"/>
        <w:widowControl/>
        <w:suppressLineNumbers w:val="0"/>
        <w:kinsoku/>
        <w:overflowPunct/>
        <w:topLinePunct w:val="0"/>
        <w:autoSpaceDN/>
        <w:bidi w:val="0"/>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i w:val="0"/>
          <w:iCs w:val="0"/>
          <w:caps w:val="0"/>
          <w:color w:val="auto"/>
          <w:spacing w:val="0"/>
          <w:sz w:val="32"/>
          <w:szCs w:val="32"/>
        </w:rPr>
      </w:pPr>
      <w:r>
        <w:rPr>
          <w:rStyle w:val="7"/>
          <w:rFonts w:hint="eastAsia" w:ascii="黑体" w:hAnsi="宋体" w:eastAsia="黑体" w:cs="黑体"/>
          <w:b w:val="0"/>
          <w:bCs/>
          <w:i w:val="0"/>
          <w:iCs w:val="0"/>
          <w:caps w:val="0"/>
          <w:color w:val="auto"/>
          <w:spacing w:val="0"/>
          <w:sz w:val="32"/>
          <w:szCs w:val="32"/>
          <w:lang w:val="en-US" w:eastAsia="zh-CN" w:bidi="ar"/>
        </w:rPr>
        <w:t xml:space="preserve">第四条 </w:t>
      </w:r>
      <w:r>
        <w:rPr>
          <w:rStyle w:val="7"/>
          <w:rFonts w:hint="eastAsia" w:ascii="仿宋_GB2312" w:hAnsi="仿宋_GB2312" w:eastAsia="仿宋_GB2312" w:cs="仿宋_GB2312"/>
          <w:b w:val="0"/>
          <w:bCs/>
          <w:i w:val="0"/>
          <w:iCs w:val="0"/>
          <w:caps w:val="0"/>
          <w:color w:val="auto"/>
          <w:spacing w:val="0"/>
          <w:sz w:val="32"/>
          <w:szCs w:val="32"/>
          <w:lang w:val="en-US" w:eastAsia="zh-CN" w:bidi="ar"/>
        </w:rPr>
        <w:t>长护险制度应遵循以下原则：</w:t>
      </w:r>
    </w:p>
    <w:p w14:paraId="48FA374C">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（一）坚持以人为本，重点解决重度失能人员长期护理保障问题。</w:t>
      </w:r>
    </w:p>
    <w:p w14:paraId="1377A745">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（二）坚持独立运行，建立独立险种，独立设计，统筹推进。</w:t>
      </w:r>
    </w:p>
    <w:p w14:paraId="5154FCFA">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（三）坚持“</w:t>
      </w:r>
      <w:r>
        <w:rPr>
          <w:rFonts w:hint="eastAsia" w:ascii="仿宋_GB2312" w:hAnsi="仿宋_GB2312" w:eastAsia="仿宋_GB2312" w:cs="仿宋_GB2312"/>
          <w:sz w:val="32"/>
          <w:szCs w:val="32"/>
        </w:rPr>
        <w:t>以收定支、收支平衡、略有结余</w:t>
      </w:r>
      <w:r>
        <w:rPr>
          <w:rFonts w:hint="eastAsia" w:ascii="仿宋_GB2312" w:hAnsi="仿宋_GB2312" w:eastAsia="仿宋_GB2312" w:cs="仿宋_GB2312"/>
          <w:b w:val="0"/>
          <w:bCs w:val="0"/>
          <w:color w:val="auto"/>
          <w:kern w:val="0"/>
          <w:sz w:val="32"/>
          <w:szCs w:val="32"/>
          <w:lang w:val="en-US" w:eastAsia="zh-CN" w:bidi="ar"/>
        </w:rPr>
        <w:t>”原则，科学合理确定筹资和保障水平。</w:t>
      </w:r>
    </w:p>
    <w:p w14:paraId="64972D42">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（四）坚持责任共担，建立多渠道筹资机制，体现权责对等要求，实现基金稳定筹集、独立运行、收支平衡、动态调整。</w:t>
      </w:r>
    </w:p>
    <w:p w14:paraId="7E08CD94">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（五）坚持统筹协调，政策一体贯通，做好与社会保障相关制度及商业保险功能衔接，协同推进健康产业和养老服务体系发展。</w:t>
      </w:r>
    </w:p>
    <w:p w14:paraId="67DCF978">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黑体" w:hAnsi="宋体" w:eastAsia="黑体" w:cs="黑体"/>
          <w:b w:val="0"/>
          <w:bCs w:val="0"/>
          <w:color w:val="auto"/>
          <w:kern w:val="0"/>
          <w:sz w:val="32"/>
          <w:szCs w:val="32"/>
          <w:lang w:val="en-US" w:eastAsia="zh-CN" w:bidi="ar"/>
        </w:rPr>
        <w:t>第五条</w:t>
      </w:r>
      <w:r>
        <w:rPr>
          <w:rFonts w:hint="eastAsia" w:ascii="Times New Roman" w:hAnsi="Times New Roman" w:eastAsia="黑体" w:cs="Times New Roman"/>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市医疗保障部门主管本市长护险工作，负责组织实施本办法。具体指导长护险经办工作，监督长护险政策实施情况。</w:t>
      </w:r>
    </w:p>
    <w:p w14:paraId="323F54E9">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医疗保障经办机构负责定点评估机构和定点长护服务机构协议管理、核查考核、费用审核结算、信息系统以及对商保公司等第三方机构的考核管理等。</w:t>
      </w:r>
    </w:p>
    <w:p w14:paraId="2A05BB6A">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市民政部门负责统筹配置养老服务机构、养老服务组织和护理员队伍，加快护理型床位建设，规范养老机构、养老服务组织及其护理人员的行业管理和服务行为，做好相关补贴的数据的信息共享和互联互通。</w:t>
      </w:r>
    </w:p>
    <w:p w14:paraId="5BD0C3DC">
      <w:pPr>
        <w:pStyle w:val="4"/>
        <w:keepNext w:val="0"/>
        <w:keepLines w:val="0"/>
        <w:pageBreakBefore w:val="0"/>
        <w:widowControl w:val="0"/>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ins w:id="3" w:author="lee" w:date="2025-06-25T10:57:14Z"/>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市财政部门负责协同医保部门开展基金监管，确保筹资与支付政策衔接。</w:t>
      </w:r>
    </w:p>
    <w:p w14:paraId="345DD8E9">
      <w:pPr>
        <w:pStyle w:val="4"/>
        <w:keepNext w:val="0"/>
        <w:keepLines w:val="0"/>
        <w:pageBreakBefore w:val="0"/>
        <w:widowControl w:val="0"/>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市人力资源和社会保障部门负责指导护理服务从业人员队伍建设，按规定落实职业培训补贴，负责为领取失业保险金人员参保缴费，配合医保部门做好工伤保险护理待遇和退休人员养老金数据的信息共享和互联互通。</w:t>
      </w:r>
    </w:p>
    <w:p w14:paraId="6F528C60">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市卫生健康部门负责规划和统筹配置医疗服务资源，对长护险医疗护理类服务进行技术指导，对专业医疗护理服务机构进行规范管理。</w:t>
      </w:r>
    </w:p>
    <w:p w14:paraId="5D908E25">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市税务部门负责做好</w:t>
      </w:r>
      <w:r>
        <w:rPr>
          <w:rFonts w:hint="eastAsia" w:ascii="仿宋_GB2312" w:hAnsi="仿宋_GB2312" w:eastAsia="仿宋_GB2312" w:cs="仿宋_GB2312"/>
          <w:b w:val="0"/>
          <w:bCs w:val="0"/>
          <w:color w:val="auto"/>
          <w:kern w:val="0"/>
          <w:sz w:val="32"/>
          <w:szCs w:val="32"/>
          <w:highlight w:val="none"/>
          <w:lang w:val="en-US" w:eastAsia="zh-CN" w:bidi="ar"/>
        </w:rPr>
        <w:t>长护险</w:t>
      </w:r>
      <w:r>
        <w:rPr>
          <w:rFonts w:hint="eastAsia" w:ascii="仿宋_GB2312" w:hAnsi="仿宋_GB2312" w:eastAsia="仿宋_GB2312" w:cs="仿宋_GB2312"/>
          <w:b w:val="0"/>
          <w:bCs w:val="0"/>
          <w:color w:val="auto"/>
          <w:kern w:val="0"/>
          <w:sz w:val="32"/>
          <w:szCs w:val="32"/>
          <w:lang w:val="en-US" w:eastAsia="zh-CN" w:bidi="ar"/>
        </w:rPr>
        <w:t>参保登记和保险费征收工作。</w:t>
      </w:r>
    </w:p>
    <w:p w14:paraId="136B0123">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市残联部门负责完善残疾人托养康复服务体系，配合医保部门做好残疾人相关数据的信息共享和互联互通。</w:t>
      </w:r>
    </w:p>
    <w:p w14:paraId="3AF5D518">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color w:val="auto"/>
          <w:kern w:val="0"/>
          <w:sz w:val="32"/>
          <w:szCs w:val="32"/>
        </w:rPr>
      </w:pPr>
      <w:r>
        <w:rPr>
          <w:rFonts w:hint="eastAsia" w:ascii="仿宋_GB2312" w:hAnsi="仿宋_GB2312" w:eastAsia="仿宋_GB2312" w:cs="仿宋_GB2312"/>
          <w:b w:val="0"/>
          <w:bCs w:val="0"/>
          <w:color w:val="auto"/>
          <w:kern w:val="2"/>
          <w:sz w:val="32"/>
          <w:szCs w:val="32"/>
          <w:lang w:val="en-US" w:eastAsia="zh-CN" w:bidi="ar"/>
        </w:rPr>
        <w:t>各县（市、区）人民政府负责统筹指导本辖区长护险制度的组织实施、经费投入、人员配置等方面提供保障和支持。</w:t>
      </w:r>
    </w:p>
    <w:p w14:paraId="6BFCE613">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center"/>
        <w:textAlignment w:val="auto"/>
        <w:outlineLvl w:val="0"/>
        <w:rPr>
          <w:rFonts w:hint="eastAsia" w:ascii="黑体" w:hAnsi="宋体" w:eastAsia="黑体" w:cs="黑体"/>
          <w:b w:val="0"/>
          <w:bCs w:val="0"/>
          <w:color w:val="auto"/>
          <w:kern w:val="0"/>
          <w:sz w:val="32"/>
          <w:szCs w:val="32"/>
          <w:shd w:val="clear" w:fill="FFFFFF"/>
          <w:lang w:val="en-US" w:eastAsia="zh-CN" w:bidi="ar"/>
        </w:rPr>
      </w:pPr>
    </w:p>
    <w:p w14:paraId="563EC58A">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center"/>
        <w:textAlignment w:val="auto"/>
        <w:outlineLvl w:val="0"/>
        <w:rPr>
          <w:rFonts w:hint="default" w:ascii="Times New Roman" w:hAnsi="Times New Roman" w:eastAsia="黑体" w:cs="Times New Roman"/>
          <w:b w:val="0"/>
          <w:bCs w:val="0"/>
          <w:color w:val="auto"/>
          <w:kern w:val="0"/>
          <w:sz w:val="32"/>
          <w:szCs w:val="32"/>
        </w:rPr>
      </w:pPr>
      <w:r>
        <w:rPr>
          <w:rFonts w:hint="eastAsia" w:ascii="黑体" w:hAnsi="宋体" w:eastAsia="黑体" w:cs="黑体"/>
          <w:b w:val="0"/>
          <w:bCs w:val="0"/>
          <w:color w:val="auto"/>
          <w:kern w:val="0"/>
          <w:sz w:val="32"/>
          <w:szCs w:val="32"/>
          <w:shd w:val="clear" w:fill="FFFFFF"/>
          <w:lang w:val="en-US" w:eastAsia="zh-CN" w:bidi="ar"/>
        </w:rPr>
        <w:t>第二章</w:t>
      </w:r>
      <w:r>
        <w:rPr>
          <w:rFonts w:hint="default" w:ascii="Times New Roman" w:hAnsi="Times New Roman" w:eastAsia="黑体" w:cs="Times New Roman"/>
          <w:b w:val="0"/>
          <w:bCs w:val="0"/>
          <w:color w:val="auto"/>
          <w:kern w:val="0"/>
          <w:sz w:val="32"/>
          <w:szCs w:val="32"/>
          <w:shd w:val="clear" w:fill="FFFFFF"/>
          <w:lang w:val="en-US" w:eastAsia="zh-CN" w:bidi="ar"/>
        </w:rPr>
        <w:t xml:space="preserve">  </w:t>
      </w:r>
      <w:r>
        <w:rPr>
          <w:rFonts w:hint="eastAsia" w:ascii="黑体" w:hAnsi="宋体" w:eastAsia="黑体" w:cs="黑体"/>
          <w:b w:val="0"/>
          <w:bCs w:val="0"/>
          <w:color w:val="auto"/>
          <w:kern w:val="0"/>
          <w:sz w:val="32"/>
          <w:szCs w:val="32"/>
          <w:lang w:val="en-US" w:eastAsia="zh-CN" w:bidi="ar"/>
        </w:rPr>
        <w:t>参保缴费</w:t>
      </w:r>
    </w:p>
    <w:p w14:paraId="06A41409">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outlineLvl w:val="0"/>
        <w:rPr>
          <w:rFonts w:hint="eastAsia" w:ascii="黑体" w:hAnsi="宋体" w:eastAsia="黑体" w:cs="黑体"/>
          <w:i w:val="0"/>
          <w:iCs w:val="0"/>
          <w:caps w:val="0"/>
          <w:color w:val="auto"/>
          <w:spacing w:val="0"/>
          <w:kern w:val="0"/>
          <w:sz w:val="32"/>
          <w:szCs w:val="32"/>
          <w:lang w:val="en-US" w:eastAsia="zh-CN" w:bidi="ar"/>
        </w:rPr>
      </w:pPr>
    </w:p>
    <w:p w14:paraId="3C2AB8E7">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outlineLvl w:val="0"/>
        <w:rPr>
          <w:rFonts w:hint="eastAsia" w:ascii="仿宋" w:hAnsi="仿宋" w:eastAsia="仿宋" w:cs="仿宋"/>
          <w:i w:val="0"/>
          <w:iCs w:val="0"/>
          <w:caps w:val="0"/>
          <w:color w:val="auto"/>
          <w:spacing w:val="0"/>
          <w:kern w:val="0"/>
          <w:sz w:val="32"/>
          <w:szCs w:val="32"/>
        </w:rPr>
      </w:pPr>
      <w:r>
        <w:rPr>
          <w:rFonts w:hint="eastAsia" w:ascii="黑体" w:hAnsi="宋体" w:eastAsia="黑体" w:cs="黑体"/>
          <w:i w:val="0"/>
          <w:iCs w:val="0"/>
          <w:caps w:val="0"/>
          <w:color w:val="auto"/>
          <w:spacing w:val="0"/>
          <w:kern w:val="0"/>
          <w:sz w:val="32"/>
          <w:szCs w:val="32"/>
          <w:lang w:val="en-US" w:eastAsia="zh-CN" w:bidi="ar"/>
        </w:rPr>
        <w:t>第</w:t>
      </w:r>
      <w:r>
        <w:rPr>
          <w:rFonts w:hint="eastAsia" w:ascii="黑体" w:eastAsia="黑体" w:cs="黑体"/>
          <w:i w:val="0"/>
          <w:iCs w:val="0"/>
          <w:caps w:val="0"/>
          <w:color w:val="auto"/>
          <w:spacing w:val="0"/>
          <w:kern w:val="0"/>
          <w:sz w:val="32"/>
          <w:szCs w:val="32"/>
          <w:lang w:val="en-US" w:eastAsia="zh-CN" w:bidi="ar"/>
        </w:rPr>
        <w:t>六</w:t>
      </w:r>
      <w:r>
        <w:rPr>
          <w:rFonts w:hint="eastAsia" w:ascii="黑体" w:hAnsi="宋体" w:eastAsia="黑体" w:cs="黑体"/>
          <w:i w:val="0"/>
          <w:iCs w:val="0"/>
          <w:caps w:val="0"/>
          <w:color w:val="auto"/>
          <w:spacing w:val="0"/>
          <w:kern w:val="0"/>
          <w:sz w:val="32"/>
          <w:szCs w:val="32"/>
          <w:lang w:val="en-US" w:eastAsia="zh-CN" w:bidi="ar"/>
        </w:rPr>
        <w:t xml:space="preserve">条 </w:t>
      </w:r>
      <w:r>
        <w:rPr>
          <w:rFonts w:hint="eastAsia" w:ascii="仿宋_GB2312" w:hAnsi="仿宋_GB2312" w:eastAsia="仿宋_GB2312" w:cs="仿宋_GB2312"/>
          <w:i w:val="0"/>
          <w:iCs w:val="0"/>
          <w:caps w:val="0"/>
          <w:color w:val="auto"/>
          <w:spacing w:val="0"/>
          <w:kern w:val="0"/>
          <w:sz w:val="32"/>
          <w:szCs w:val="32"/>
          <w:lang w:val="en-US" w:eastAsia="zh-CN" w:bidi="ar"/>
        </w:rPr>
        <w:t>参加本市职工基本医疗保险</w:t>
      </w:r>
      <w:r>
        <w:rPr>
          <w:rFonts w:hint="eastAsia" w:ascii="仿宋_GB2312" w:hAnsi="仿宋_GB2312" w:eastAsia="仿宋_GB2312" w:cs="仿宋_GB2312"/>
          <w:color w:val="auto"/>
          <w:sz w:val="32"/>
          <w:szCs w:val="32"/>
          <w:shd w:val="clear" w:color="auto" w:fill="FFFFFF"/>
          <w:lang w:eastAsia="zh-CN"/>
        </w:rPr>
        <w:t>（以下简称职工医保）</w:t>
      </w:r>
      <w:r>
        <w:rPr>
          <w:rFonts w:hint="eastAsia" w:ascii="仿宋_GB2312" w:hAnsi="仿宋_GB2312" w:eastAsia="仿宋_GB2312" w:cs="仿宋_GB2312"/>
          <w:i w:val="0"/>
          <w:iCs w:val="0"/>
          <w:caps w:val="0"/>
          <w:color w:val="auto"/>
          <w:spacing w:val="0"/>
          <w:kern w:val="0"/>
          <w:sz w:val="32"/>
          <w:szCs w:val="32"/>
          <w:lang w:val="en-US" w:eastAsia="zh-CN" w:bidi="ar"/>
        </w:rPr>
        <w:t>的人员，同步参加长护险。</w:t>
      </w:r>
    </w:p>
    <w:p w14:paraId="7F9C41F4">
      <w:pPr>
        <w:pStyle w:val="4"/>
        <w:keepNext w:val="0"/>
        <w:keepLines w:val="0"/>
        <w:pageBreakBefore w:val="0"/>
        <w:widowControl/>
        <w:numPr>
          <w:ilvl w:val="0"/>
          <w:numId w:val="0"/>
        </w:numPr>
        <w:suppressLineNumbers w:val="0"/>
        <w:kinsoku/>
        <w:wordWrap w:val="0"/>
        <w:overflowPunct/>
        <w:topLinePunct w:val="0"/>
        <w:autoSpaceDN/>
        <w:bidi w:val="0"/>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黑体" w:hAnsi="宋体" w:eastAsia="黑体" w:cs="黑体"/>
          <w:b w:val="0"/>
          <w:bCs w:val="0"/>
          <w:color w:val="auto"/>
          <w:kern w:val="0"/>
          <w:sz w:val="32"/>
          <w:szCs w:val="32"/>
          <w:lang w:val="en-US" w:eastAsia="zh-CN" w:bidi="ar"/>
        </w:rPr>
        <w:t>第</w:t>
      </w:r>
      <w:r>
        <w:rPr>
          <w:rFonts w:hint="eastAsia" w:ascii="黑体" w:eastAsia="黑体" w:cs="黑体"/>
          <w:b w:val="0"/>
          <w:bCs w:val="0"/>
          <w:color w:val="auto"/>
          <w:kern w:val="0"/>
          <w:sz w:val="32"/>
          <w:szCs w:val="32"/>
          <w:lang w:val="en-US" w:eastAsia="zh-CN" w:bidi="ar"/>
        </w:rPr>
        <w:t>七</w:t>
      </w:r>
      <w:r>
        <w:rPr>
          <w:rFonts w:hint="eastAsia" w:ascii="黑体" w:hAnsi="宋体" w:eastAsia="黑体" w:cs="黑体"/>
          <w:b w:val="0"/>
          <w:bCs w:val="0"/>
          <w:color w:val="auto"/>
          <w:kern w:val="0"/>
          <w:sz w:val="32"/>
          <w:szCs w:val="32"/>
          <w:lang w:val="en-US" w:eastAsia="zh-CN" w:bidi="ar"/>
        </w:rPr>
        <w:t xml:space="preserve">条 </w:t>
      </w:r>
      <w:r>
        <w:rPr>
          <w:rFonts w:hint="eastAsia" w:ascii="仿宋_GB2312" w:hAnsi="仿宋_GB2312" w:eastAsia="仿宋_GB2312" w:cs="仿宋_GB2312"/>
          <w:b w:val="0"/>
          <w:bCs w:val="0"/>
          <w:color w:val="auto"/>
          <w:kern w:val="0"/>
          <w:sz w:val="32"/>
          <w:szCs w:val="32"/>
          <w:lang w:val="en-US" w:eastAsia="zh-CN" w:bidi="ar"/>
        </w:rPr>
        <w:t>建立健全单位、个人、政府、社会等多元筹资渠道，与经济发展水平相适应、与各方负担能力相匹配、与长远可持续要求相协调，逐步实现基金稳定筹集、独立运行。</w:t>
      </w:r>
    </w:p>
    <w:p w14:paraId="7715AF6B">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rightChars="0" w:firstLine="640" w:firstLineChars="200"/>
        <w:jc w:val="both"/>
        <w:textAlignment w:val="auto"/>
        <w:outlineLvl w:val="1"/>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（一）在职职工（</w:t>
      </w:r>
      <w:r>
        <w:rPr>
          <w:rFonts w:hint="eastAsia" w:ascii="仿宋_GB2312" w:hAnsi="仿宋_GB2312" w:eastAsia="仿宋_GB2312" w:cs="仿宋_GB2312"/>
          <w:b w:val="0"/>
          <w:bCs w:val="0"/>
          <w:color w:val="auto"/>
          <w:kern w:val="0"/>
          <w:sz w:val="32"/>
          <w:szCs w:val="32"/>
          <w:highlight w:val="none"/>
          <w:lang w:val="en-US" w:eastAsia="zh-CN" w:bidi="ar"/>
        </w:rPr>
        <w:t>含失业人员、灵活就业人员</w:t>
      </w:r>
      <w:r>
        <w:rPr>
          <w:rFonts w:hint="eastAsia" w:ascii="仿宋_GB2312" w:hAnsi="仿宋_GB2312" w:eastAsia="仿宋_GB2312" w:cs="仿宋_GB2312"/>
          <w:b w:val="0"/>
          <w:bCs w:val="0"/>
          <w:color w:val="auto"/>
          <w:kern w:val="0"/>
          <w:sz w:val="32"/>
          <w:szCs w:val="32"/>
          <w:lang w:val="en-US" w:eastAsia="zh-CN" w:bidi="ar"/>
        </w:rPr>
        <w:t>）参加长护险通过单位缴费和个人缴费筹资，缴费费率为当期职工医保缴费基数的0.4%，由用人单位和个人按比例分担。其中：用人单位缴费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为0.3%</w:t>
      </w:r>
      <w:r>
        <w:rPr>
          <w:rFonts w:hint="eastAsia" w:ascii="仿宋_GB2312" w:hAnsi="仿宋_GB2312" w:eastAsia="仿宋_GB2312" w:cs="仿宋_GB2312"/>
          <w:b w:val="0"/>
          <w:bCs w:val="0"/>
          <w:color w:val="auto"/>
          <w:kern w:val="0"/>
          <w:sz w:val="32"/>
          <w:szCs w:val="32"/>
          <w:lang w:val="en-US" w:eastAsia="zh-CN" w:bidi="ar"/>
        </w:rPr>
        <w:t>；个人缴费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为0.1%，从职工医保个人缴费金额中划转</w:t>
      </w:r>
      <w:r>
        <w:rPr>
          <w:rFonts w:hint="eastAsia" w:ascii="仿宋_GB2312" w:hAnsi="仿宋_GB2312" w:eastAsia="仿宋_GB2312" w:cs="仿宋_GB2312"/>
          <w:b w:val="0"/>
          <w:bCs w:val="0"/>
          <w:color w:val="auto"/>
          <w:kern w:val="0"/>
          <w:sz w:val="32"/>
          <w:szCs w:val="32"/>
          <w:lang w:val="en-US" w:eastAsia="zh-CN" w:bidi="ar"/>
        </w:rPr>
        <w:t>，划转部分不再划入其职工医保个人账户。</w:t>
      </w:r>
    </w:p>
    <w:p w14:paraId="4694BAF8">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（二）达到法定退休年龄且已缴满职工医保规定缴费年限的退休人员，</w:t>
      </w:r>
      <w:r>
        <w:rPr>
          <w:rFonts w:hint="eastAsia" w:ascii="仿宋_GB2312" w:hAnsi="仿宋_GB2312" w:eastAsia="仿宋_GB2312" w:cs="仿宋_GB2312"/>
          <w:i w:val="0"/>
          <w:iCs w:val="0"/>
          <w:caps w:val="0"/>
          <w:color w:val="auto"/>
          <w:spacing w:val="0"/>
          <w:kern w:val="0"/>
          <w:sz w:val="32"/>
          <w:szCs w:val="32"/>
          <w:highlight w:val="none"/>
          <w:lang w:val="en-US" w:eastAsia="zh-CN" w:bidi="ar"/>
        </w:rPr>
        <w:t>以</w:t>
      </w:r>
      <w:r>
        <w:rPr>
          <w:rFonts w:hint="eastAsia" w:ascii="仿宋_GB2312" w:hAnsi="仿宋_GB2312" w:eastAsia="仿宋_GB2312" w:cs="仿宋_GB2312"/>
          <w:sz w:val="32"/>
          <w:szCs w:val="32"/>
          <w:highlight w:val="none"/>
        </w:rPr>
        <w:t>本市上上年度</w:t>
      </w:r>
      <w:r>
        <w:rPr>
          <w:rFonts w:hint="eastAsia" w:ascii="仿宋_GB2312" w:hAnsi="仿宋_GB2312" w:eastAsia="仿宋_GB2312" w:cs="仿宋_GB2312"/>
          <w:sz w:val="32"/>
          <w:szCs w:val="32"/>
          <w:highlight w:val="none"/>
          <w:lang w:val="en-US" w:eastAsia="zh-CN"/>
        </w:rPr>
        <w:t>全口径城镇单位就业人员</w:t>
      </w:r>
      <w:r>
        <w:rPr>
          <w:rFonts w:hint="eastAsia" w:ascii="仿宋_GB2312" w:hAnsi="仿宋_GB2312" w:eastAsia="仿宋_GB2312" w:cs="仿宋_GB2312"/>
          <w:sz w:val="32"/>
          <w:szCs w:val="32"/>
          <w:highlight w:val="none"/>
        </w:rPr>
        <w:t>月平均工资</w:t>
      </w:r>
      <w:r>
        <w:rPr>
          <w:rFonts w:hint="eastAsia" w:ascii="仿宋_GB2312" w:hAnsi="仿宋_GB2312" w:eastAsia="仿宋_GB2312" w:cs="仿宋_GB2312"/>
          <w:sz w:val="32"/>
          <w:szCs w:val="32"/>
          <w:highlight w:val="none"/>
          <w:lang w:val="en-US" w:eastAsia="zh-CN"/>
        </w:rPr>
        <w:t>的60%</w:t>
      </w:r>
      <w:r>
        <w:rPr>
          <w:rFonts w:hint="eastAsia" w:ascii="仿宋_GB2312" w:hAnsi="仿宋_GB2312" w:eastAsia="仿宋_GB2312" w:cs="仿宋_GB2312"/>
          <w:i w:val="0"/>
          <w:iCs w:val="0"/>
          <w:caps w:val="0"/>
          <w:color w:val="auto"/>
          <w:spacing w:val="0"/>
          <w:kern w:val="0"/>
          <w:sz w:val="32"/>
          <w:szCs w:val="32"/>
          <w:highlight w:val="none"/>
          <w:lang w:val="en-US" w:eastAsia="zh-CN" w:bidi="ar"/>
        </w:rPr>
        <w:t>作为</w:t>
      </w:r>
      <w:r>
        <w:rPr>
          <w:rStyle w:val="7"/>
          <w:rFonts w:hint="eastAsia" w:ascii="仿宋_GB2312" w:hAnsi="仿宋_GB2312" w:eastAsia="仿宋_GB2312" w:cs="仿宋_GB2312"/>
          <w:b w:val="0"/>
          <w:bCs/>
          <w:i w:val="0"/>
          <w:iCs w:val="0"/>
          <w:caps w:val="0"/>
          <w:color w:val="auto"/>
          <w:spacing w:val="0"/>
          <w:sz w:val="32"/>
          <w:szCs w:val="32"/>
          <w:highlight w:val="none"/>
          <w:lang w:val="en-US" w:eastAsia="zh-CN" w:bidi="ar"/>
        </w:rPr>
        <w:t>长护险</w:t>
      </w:r>
      <w:r>
        <w:rPr>
          <w:rFonts w:hint="eastAsia" w:ascii="仿宋_GB2312" w:hAnsi="仿宋_GB2312" w:eastAsia="仿宋_GB2312" w:cs="仿宋_GB2312"/>
          <w:i w:val="0"/>
          <w:iCs w:val="0"/>
          <w:caps w:val="0"/>
          <w:color w:val="auto"/>
          <w:spacing w:val="0"/>
          <w:kern w:val="0"/>
          <w:sz w:val="32"/>
          <w:szCs w:val="32"/>
          <w:highlight w:val="none"/>
          <w:lang w:val="en-US" w:eastAsia="zh-CN" w:bidi="ar"/>
        </w:rPr>
        <w:t>缴费基数</w:t>
      </w:r>
      <w:r>
        <w:rPr>
          <w:rFonts w:hint="eastAsia" w:ascii="仿宋_GB2312" w:hAnsi="仿宋_GB2312" w:eastAsia="仿宋_GB2312" w:cs="仿宋_GB2312"/>
          <w:b w:val="0"/>
          <w:bCs w:val="0"/>
          <w:color w:val="auto"/>
          <w:kern w:val="0"/>
          <w:sz w:val="32"/>
          <w:szCs w:val="32"/>
          <w:highlight w:val="none"/>
          <w:lang w:val="en-US" w:eastAsia="zh-CN" w:bidi="ar"/>
        </w:rPr>
        <w:t>，缴费费率为0.1%</w:t>
      </w:r>
      <w:r>
        <w:rPr>
          <w:rFonts w:hint="eastAsia" w:ascii="仿宋_GB2312" w:hAnsi="仿宋_GB2312" w:eastAsia="仿宋_GB2312" w:cs="仿宋_GB2312"/>
          <w:b w:val="0"/>
          <w:bCs w:val="0"/>
          <w:color w:val="auto"/>
          <w:kern w:val="0"/>
          <w:sz w:val="32"/>
          <w:szCs w:val="32"/>
          <w:lang w:val="en-US" w:eastAsia="zh-CN" w:bidi="ar"/>
        </w:rPr>
        <w:t>，从职工医保统筹基金中按月划转，划出部分不再划入医保个人账户。</w:t>
      </w:r>
    </w:p>
    <w:p w14:paraId="23521B64">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highlight w:val="cyan"/>
        </w:rPr>
      </w:pPr>
      <w:r>
        <w:rPr>
          <w:rFonts w:hint="eastAsia" w:ascii="仿宋_GB2312" w:hAnsi="仿宋_GB2312" w:eastAsia="仿宋_GB2312" w:cs="仿宋_GB2312"/>
          <w:b w:val="0"/>
          <w:bCs w:val="0"/>
          <w:color w:val="auto"/>
          <w:kern w:val="0"/>
          <w:sz w:val="32"/>
          <w:szCs w:val="32"/>
          <w:highlight w:val="none"/>
          <w:lang w:val="en-US" w:eastAsia="zh-CN" w:bidi="ar"/>
        </w:rPr>
        <w:t>（三）达到法定退休年龄但未缴满职工医保规定缴费年限的退休人员</w:t>
      </w:r>
      <w:r>
        <w:rPr>
          <w:rFonts w:hint="eastAsia" w:ascii="仿宋_GB2312" w:hAnsi="仿宋_GB2312" w:eastAsia="仿宋_GB2312" w:cs="仿宋_GB2312"/>
          <w:i w:val="0"/>
          <w:iCs w:val="0"/>
          <w:caps w:val="0"/>
          <w:color w:val="auto"/>
          <w:spacing w:val="0"/>
          <w:kern w:val="0"/>
          <w:sz w:val="32"/>
          <w:szCs w:val="32"/>
          <w:highlight w:val="none"/>
          <w:lang w:val="en-US" w:eastAsia="zh-CN" w:bidi="ar"/>
        </w:rPr>
        <w:t>，以</w:t>
      </w:r>
      <w:r>
        <w:rPr>
          <w:rFonts w:hint="eastAsia" w:ascii="仿宋_GB2312" w:hAnsi="仿宋_GB2312" w:eastAsia="仿宋_GB2312" w:cs="仿宋_GB2312"/>
          <w:sz w:val="32"/>
          <w:szCs w:val="32"/>
          <w:highlight w:val="none"/>
        </w:rPr>
        <w:t>本市上上年度</w:t>
      </w:r>
      <w:r>
        <w:rPr>
          <w:rFonts w:hint="eastAsia" w:ascii="仿宋_GB2312" w:hAnsi="仿宋_GB2312" w:eastAsia="仿宋_GB2312" w:cs="仿宋_GB2312"/>
          <w:sz w:val="32"/>
          <w:szCs w:val="32"/>
          <w:highlight w:val="none"/>
          <w:lang w:val="en-US" w:eastAsia="zh-CN"/>
        </w:rPr>
        <w:t>全口径城镇单位就业人员</w:t>
      </w:r>
      <w:r>
        <w:rPr>
          <w:rFonts w:hint="eastAsia" w:ascii="仿宋_GB2312" w:hAnsi="仿宋_GB2312" w:eastAsia="仿宋_GB2312" w:cs="仿宋_GB2312"/>
          <w:sz w:val="32"/>
          <w:szCs w:val="32"/>
          <w:highlight w:val="none"/>
        </w:rPr>
        <w:t>月平均工资</w:t>
      </w:r>
      <w:r>
        <w:rPr>
          <w:rFonts w:hint="eastAsia" w:ascii="仿宋_GB2312" w:hAnsi="仿宋_GB2312" w:eastAsia="仿宋_GB2312" w:cs="仿宋_GB2312"/>
          <w:sz w:val="32"/>
          <w:szCs w:val="32"/>
          <w:highlight w:val="none"/>
          <w:lang w:val="en-US" w:eastAsia="zh-CN"/>
        </w:rPr>
        <w:t>的60%</w:t>
      </w:r>
      <w:r>
        <w:rPr>
          <w:rFonts w:hint="eastAsia" w:ascii="仿宋_GB2312" w:hAnsi="仿宋_GB2312" w:eastAsia="仿宋_GB2312" w:cs="仿宋_GB2312"/>
          <w:i w:val="0"/>
          <w:iCs w:val="0"/>
          <w:caps w:val="0"/>
          <w:color w:val="auto"/>
          <w:spacing w:val="0"/>
          <w:kern w:val="0"/>
          <w:sz w:val="32"/>
          <w:szCs w:val="32"/>
          <w:highlight w:val="none"/>
          <w:lang w:val="en-US" w:eastAsia="zh-CN" w:bidi="ar"/>
        </w:rPr>
        <w:t>作为</w:t>
      </w:r>
      <w:r>
        <w:rPr>
          <w:rStyle w:val="7"/>
          <w:rFonts w:hint="eastAsia" w:ascii="仿宋_GB2312" w:hAnsi="仿宋_GB2312" w:eastAsia="仿宋_GB2312" w:cs="仿宋_GB2312"/>
          <w:b w:val="0"/>
          <w:bCs/>
          <w:i w:val="0"/>
          <w:iCs w:val="0"/>
          <w:caps w:val="0"/>
          <w:color w:val="auto"/>
          <w:spacing w:val="0"/>
          <w:sz w:val="32"/>
          <w:szCs w:val="32"/>
          <w:highlight w:val="none"/>
          <w:lang w:val="en-US" w:eastAsia="zh-CN" w:bidi="ar"/>
        </w:rPr>
        <w:t>长护险</w:t>
      </w:r>
      <w:r>
        <w:rPr>
          <w:rFonts w:hint="eastAsia" w:ascii="仿宋_GB2312" w:hAnsi="仿宋_GB2312" w:eastAsia="仿宋_GB2312" w:cs="仿宋_GB2312"/>
          <w:i w:val="0"/>
          <w:iCs w:val="0"/>
          <w:caps w:val="0"/>
          <w:color w:val="auto"/>
          <w:spacing w:val="0"/>
          <w:kern w:val="0"/>
          <w:sz w:val="32"/>
          <w:szCs w:val="32"/>
          <w:highlight w:val="none"/>
          <w:lang w:val="en-US" w:eastAsia="zh-CN" w:bidi="ar"/>
        </w:rPr>
        <w:t>缴费基数</w:t>
      </w:r>
      <w:r>
        <w:rPr>
          <w:rFonts w:hint="eastAsia" w:ascii="仿宋_GB2312" w:hAnsi="仿宋_GB2312" w:eastAsia="仿宋_GB2312" w:cs="仿宋_GB2312"/>
          <w:b w:val="0"/>
          <w:bCs w:val="0"/>
          <w:color w:val="auto"/>
          <w:kern w:val="0"/>
          <w:sz w:val="32"/>
          <w:szCs w:val="32"/>
          <w:highlight w:val="none"/>
          <w:lang w:val="en-US" w:eastAsia="zh-CN" w:bidi="ar"/>
        </w:rPr>
        <w:t>，缴费费率为0.4%。</w:t>
      </w:r>
    </w:p>
    <w:p w14:paraId="7A4F54A5">
      <w:pPr>
        <w:pStyle w:val="4"/>
        <w:keepNext w:val="0"/>
        <w:keepLines w:val="0"/>
        <w:pageBreakBefore w:val="0"/>
        <w:widowControl/>
        <w:numPr>
          <w:ilvl w:val="0"/>
          <w:numId w:val="1"/>
        </w:numPr>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kern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对于已破产、关闭、转制且享受基本医保财政补贴政策的企业退休人员，可选择通过个人缴费的方式参加</w:t>
      </w:r>
      <w:r>
        <w:rPr>
          <w:rStyle w:val="7"/>
          <w:rFonts w:hint="eastAsia" w:ascii="仿宋_GB2312" w:hAnsi="仿宋_GB2312" w:eastAsia="仿宋_GB2312" w:cs="仿宋_GB2312"/>
          <w:b w:val="0"/>
          <w:bCs/>
          <w:i w:val="0"/>
          <w:iCs w:val="0"/>
          <w:caps w:val="0"/>
          <w:color w:val="auto"/>
          <w:spacing w:val="0"/>
          <w:sz w:val="32"/>
          <w:szCs w:val="32"/>
          <w:lang w:val="en-US" w:eastAsia="zh-CN" w:bidi="ar"/>
        </w:rPr>
        <w:t>长护险</w:t>
      </w: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lang w:val="en-US" w:eastAsia="zh-CN" w:bidi="ar"/>
        </w:rPr>
        <w:t>以</w:t>
      </w:r>
      <w:r>
        <w:rPr>
          <w:rFonts w:hint="eastAsia" w:ascii="仿宋_GB2312" w:hAnsi="仿宋_GB2312" w:eastAsia="仿宋_GB2312" w:cs="仿宋_GB2312"/>
          <w:sz w:val="32"/>
          <w:szCs w:val="32"/>
          <w:highlight w:val="none"/>
        </w:rPr>
        <w:t>本市上上年度</w:t>
      </w:r>
      <w:r>
        <w:rPr>
          <w:rFonts w:hint="eastAsia" w:ascii="仿宋_GB2312" w:hAnsi="仿宋_GB2312" w:eastAsia="仿宋_GB2312" w:cs="仿宋_GB2312"/>
          <w:sz w:val="32"/>
          <w:szCs w:val="32"/>
          <w:highlight w:val="none"/>
          <w:lang w:val="en-US" w:eastAsia="zh-CN"/>
        </w:rPr>
        <w:t>全口径城镇单位就业人员</w:t>
      </w:r>
      <w:r>
        <w:rPr>
          <w:rFonts w:hint="eastAsia" w:ascii="仿宋_GB2312" w:hAnsi="仿宋_GB2312" w:eastAsia="仿宋_GB2312" w:cs="仿宋_GB2312"/>
          <w:sz w:val="32"/>
          <w:szCs w:val="32"/>
          <w:highlight w:val="none"/>
        </w:rPr>
        <w:t>月平均工资</w:t>
      </w:r>
      <w:r>
        <w:rPr>
          <w:rFonts w:hint="eastAsia" w:ascii="仿宋_GB2312" w:hAnsi="仿宋_GB2312" w:eastAsia="仿宋_GB2312" w:cs="仿宋_GB2312"/>
          <w:sz w:val="32"/>
          <w:szCs w:val="32"/>
          <w:highlight w:val="none"/>
          <w:lang w:val="en-US" w:eastAsia="zh-CN"/>
        </w:rPr>
        <w:t>的60%</w:t>
      </w:r>
      <w:r>
        <w:rPr>
          <w:rFonts w:hint="eastAsia" w:ascii="仿宋_GB2312" w:hAnsi="仿宋_GB2312" w:eastAsia="仿宋_GB2312" w:cs="仿宋_GB2312"/>
          <w:i w:val="0"/>
          <w:iCs w:val="0"/>
          <w:caps w:val="0"/>
          <w:color w:val="auto"/>
          <w:spacing w:val="0"/>
          <w:kern w:val="0"/>
          <w:sz w:val="32"/>
          <w:szCs w:val="32"/>
          <w:highlight w:val="none"/>
          <w:lang w:val="en-US" w:eastAsia="zh-CN" w:bidi="ar"/>
        </w:rPr>
        <w:t>作为</w:t>
      </w:r>
      <w:r>
        <w:rPr>
          <w:rStyle w:val="7"/>
          <w:rFonts w:hint="eastAsia" w:ascii="仿宋_GB2312" w:hAnsi="仿宋_GB2312" w:eastAsia="仿宋_GB2312" w:cs="仿宋_GB2312"/>
          <w:b w:val="0"/>
          <w:bCs/>
          <w:i w:val="0"/>
          <w:iCs w:val="0"/>
          <w:caps w:val="0"/>
          <w:color w:val="auto"/>
          <w:spacing w:val="0"/>
          <w:sz w:val="32"/>
          <w:szCs w:val="32"/>
          <w:highlight w:val="none"/>
          <w:lang w:val="en-US" w:eastAsia="zh-CN" w:bidi="ar"/>
        </w:rPr>
        <w:t>长护险</w:t>
      </w:r>
      <w:r>
        <w:rPr>
          <w:rFonts w:hint="eastAsia" w:ascii="仿宋_GB2312" w:hAnsi="仿宋_GB2312" w:eastAsia="仿宋_GB2312" w:cs="仿宋_GB2312"/>
          <w:i w:val="0"/>
          <w:iCs w:val="0"/>
          <w:caps w:val="0"/>
          <w:color w:val="auto"/>
          <w:spacing w:val="0"/>
          <w:kern w:val="0"/>
          <w:sz w:val="32"/>
          <w:szCs w:val="32"/>
          <w:highlight w:val="none"/>
          <w:lang w:val="en-US" w:eastAsia="zh-CN" w:bidi="ar"/>
        </w:rPr>
        <w:t>缴费基数</w:t>
      </w:r>
      <w:r>
        <w:rPr>
          <w:rFonts w:hint="eastAsia" w:ascii="仿宋_GB2312" w:hAnsi="仿宋_GB2312" w:eastAsia="仿宋_GB2312" w:cs="仿宋_GB2312"/>
          <w:i w:val="0"/>
          <w:iCs w:val="0"/>
          <w:caps w:val="0"/>
          <w:color w:val="auto"/>
          <w:spacing w:val="0"/>
          <w:kern w:val="0"/>
          <w:sz w:val="32"/>
          <w:szCs w:val="32"/>
          <w:lang w:val="en-US" w:eastAsia="zh-CN" w:bidi="ar"/>
        </w:rPr>
        <w:t>，缴费费率为0.4%。未履行缴费义务的，不得享受</w:t>
      </w:r>
      <w:r>
        <w:rPr>
          <w:rStyle w:val="7"/>
          <w:rFonts w:hint="eastAsia" w:ascii="仿宋_GB2312" w:hAnsi="仿宋_GB2312" w:eastAsia="仿宋_GB2312" w:cs="仿宋_GB2312"/>
          <w:b w:val="0"/>
          <w:bCs/>
          <w:i w:val="0"/>
          <w:iCs w:val="0"/>
          <w:caps w:val="0"/>
          <w:color w:val="auto"/>
          <w:spacing w:val="0"/>
          <w:sz w:val="32"/>
          <w:szCs w:val="32"/>
          <w:lang w:val="en-US" w:eastAsia="zh-CN" w:bidi="ar"/>
        </w:rPr>
        <w:t>长护险</w:t>
      </w:r>
      <w:r>
        <w:rPr>
          <w:rFonts w:hint="eastAsia" w:ascii="仿宋_GB2312" w:hAnsi="仿宋_GB2312" w:eastAsia="仿宋_GB2312" w:cs="仿宋_GB2312"/>
          <w:i w:val="0"/>
          <w:iCs w:val="0"/>
          <w:caps w:val="0"/>
          <w:color w:val="auto"/>
          <w:spacing w:val="0"/>
          <w:kern w:val="0"/>
          <w:sz w:val="32"/>
          <w:szCs w:val="32"/>
          <w:lang w:val="en-US" w:eastAsia="zh-CN" w:bidi="ar"/>
        </w:rPr>
        <w:t>相关待遇。</w:t>
      </w:r>
    </w:p>
    <w:p w14:paraId="5F48F6E4">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center"/>
        <w:textAlignment w:val="auto"/>
        <w:outlineLvl w:val="0"/>
        <w:rPr>
          <w:rFonts w:hint="eastAsia" w:ascii="黑体" w:hAnsi="宋体" w:eastAsia="黑体" w:cs="黑体"/>
          <w:b w:val="0"/>
          <w:bCs w:val="0"/>
          <w:color w:val="auto"/>
          <w:kern w:val="0"/>
          <w:sz w:val="32"/>
          <w:szCs w:val="32"/>
          <w:lang w:val="en-US" w:eastAsia="zh-CN" w:bidi="ar"/>
        </w:rPr>
      </w:pPr>
    </w:p>
    <w:p w14:paraId="46757E6D">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center"/>
        <w:textAlignment w:val="auto"/>
        <w:outlineLvl w:val="0"/>
        <w:rPr>
          <w:rFonts w:hint="default" w:ascii="Times New Roman" w:hAnsi="Times New Roman" w:eastAsia="黑体" w:cs="Times New Roman"/>
          <w:b w:val="0"/>
          <w:bCs w:val="0"/>
          <w:color w:val="auto"/>
          <w:kern w:val="0"/>
          <w:sz w:val="32"/>
          <w:szCs w:val="32"/>
        </w:rPr>
      </w:pPr>
      <w:r>
        <w:rPr>
          <w:rFonts w:hint="eastAsia" w:ascii="黑体" w:hAnsi="宋体" w:eastAsia="黑体" w:cs="黑体"/>
          <w:b w:val="0"/>
          <w:bCs w:val="0"/>
          <w:color w:val="auto"/>
          <w:kern w:val="0"/>
          <w:sz w:val="32"/>
          <w:szCs w:val="32"/>
          <w:lang w:val="en-US" w:eastAsia="zh-CN" w:bidi="ar"/>
        </w:rPr>
        <w:t>第三章</w:t>
      </w:r>
      <w:r>
        <w:rPr>
          <w:rFonts w:hint="default" w:ascii="Times New Roman" w:hAnsi="Times New Roman" w:eastAsia="黑体" w:cs="Times New Roman"/>
          <w:b w:val="0"/>
          <w:bCs w:val="0"/>
          <w:color w:val="auto"/>
          <w:kern w:val="0"/>
          <w:sz w:val="32"/>
          <w:szCs w:val="32"/>
          <w:lang w:val="en-US" w:eastAsia="zh-CN" w:bidi="ar"/>
        </w:rPr>
        <w:t xml:space="preserve">  </w:t>
      </w:r>
      <w:r>
        <w:rPr>
          <w:rFonts w:hint="eastAsia" w:ascii="黑体" w:hAnsi="宋体" w:eastAsia="黑体" w:cs="黑体"/>
          <w:b w:val="0"/>
          <w:bCs w:val="0"/>
          <w:color w:val="auto"/>
          <w:kern w:val="0"/>
          <w:sz w:val="32"/>
          <w:szCs w:val="32"/>
          <w:lang w:val="en-US" w:eastAsia="zh-CN" w:bidi="ar"/>
        </w:rPr>
        <w:t>失能评估</w:t>
      </w:r>
    </w:p>
    <w:p w14:paraId="3F601EFF">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leftChars="0" w:right="0" w:firstLine="640" w:firstLineChars="200"/>
        <w:jc w:val="both"/>
        <w:textAlignment w:val="auto"/>
        <w:outlineLvl w:val="1"/>
        <w:rPr>
          <w:rFonts w:hint="eastAsia" w:ascii="黑体" w:hAnsi="宋体" w:eastAsia="黑体" w:cs="黑体"/>
          <w:b w:val="0"/>
          <w:bCs w:val="0"/>
          <w:color w:val="auto"/>
          <w:kern w:val="0"/>
          <w:sz w:val="32"/>
          <w:szCs w:val="32"/>
          <w:lang w:val="en-US" w:eastAsia="zh-CN" w:bidi="ar"/>
        </w:rPr>
      </w:pPr>
    </w:p>
    <w:p w14:paraId="039C4E48">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leftChars="0" w:right="0" w:firstLine="640" w:firstLineChars="200"/>
        <w:jc w:val="both"/>
        <w:textAlignment w:val="auto"/>
        <w:outlineLvl w:val="1"/>
        <w:rPr>
          <w:rFonts w:hint="eastAsia" w:ascii="仿宋_GB2312" w:hAnsi="仿宋_GB2312" w:eastAsia="仿宋_GB2312" w:cs="仿宋_GB2312"/>
          <w:b w:val="0"/>
          <w:bCs w:val="0"/>
          <w:color w:val="auto"/>
          <w:sz w:val="32"/>
          <w:szCs w:val="32"/>
        </w:rPr>
      </w:pPr>
      <w:r>
        <w:rPr>
          <w:rFonts w:hint="eastAsia" w:ascii="黑体" w:hAnsi="宋体" w:eastAsia="黑体" w:cs="黑体"/>
          <w:b w:val="0"/>
          <w:bCs w:val="0"/>
          <w:color w:val="auto"/>
          <w:kern w:val="0"/>
          <w:sz w:val="32"/>
          <w:szCs w:val="32"/>
          <w:lang w:val="en-US" w:eastAsia="zh-CN" w:bidi="ar"/>
        </w:rPr>
        <w:t>第</w:t>
      </w:r>
      <w:r>
        <w:rPr>
          <w:rFonts w:hint="eastAsia" w:ascii="黑体" w:eastAsia="黑体" w:cs="黑体"/>
          <w:b w:val="0"/>
          <w:bCs w:val="0"/>
          <w:color w:val="auto"/>
          <w:kern w:val="0"/>
          <w:sz w:val="32"/>
          <w:szCs w:val="32"/>
          <w:lang w:val="en-US" w:eastAsia="zh-CN" w:bidi="ar"/>
        </w:rPr>
        <w:t>八</w:t>
      </w:r>
      <w:r>
        <w:rPr>
          <w:rFonts w:hint="eastAsia" w:ascii="黑体" w:hAnsi="宋体" w:eastAsia="黑体" w:cs="黑体"/>
          <w:b w:val="0"/>
          <w:bCs w:val="0"/>
          <w:color w:val="auto"/>
          <w:kern w:val="0"/>
          <w:sz w:val="32"/>
          <w:szCs w:val="32"/>
          <w:lang w:val="en-US" w:eastAsia="zh-CN" w:bidi="ar"/>
        </w:rPr>
        <w:t>条</w:t>
      </w:r>
      <w:r>
        <w:rPr>
          <w:rFonts w:hint="eastAsia" w:ascii="Times New Roman" w:hAnsi="Times New Roman" w:eastAsia="黑体" w:cs="Times New Roman"/>
          <w:b w:val="0"/>
          <w:bCs w:val="0"/>
          <w:color w:val="auto"/>
          <w:kern w:val="0"/>
          <w:sz w:val="32"/>
          <w:szCs w:val="32"/>
          <w:lang w:val="en-US" w:eastAsia="zh-CN" w:bidi="ar"/>
        </w:rPr>
        <w:t xml:space="preserve"> </w:t>
      </w:r>
      <w:r>
        <w:rPr>
          <w:rStyle w:val="7"/>
          <w:rFonts w:hint="eastAsia" w:ascii="仿宋_GB2312" w:hAnsi="仿宋_GB2312" w:eastAsia="仿宋_GB2312" w:cs="仿宋_GB2312"/>
          <w:b w:val="0"/>
          <w:bCs w:val="0"/>
          <w:color w:val="auto"/>
          <w:sz w:val="32"/>
          <w:szCs w:val="32"/>
          <w:lang w:val="en-US" w:eastAsia="zh-CN" w:bidi="ar"/>
        </w:rPr>
        <w:t>参保人员申请享受长护险待遇的，应首先进行失能等级评估。</w:t>
      </w:r>
    </w:p>
    <w:p w14:paraId="73C28F88">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color w:val="auto"/>
          <w:sz w:val="32"/>
          <w:szCs w:val="32"/>
        </w:rPr>
      </w:pPr>
      <w:r>
        <w:rPr>
          <w:rFonts w:hint="eastAsia" w:ascii="黑体" w:hAnsi="宋体" w:eastAsia="黑体" w:cs="黑体"/>
          <w:b w:val="0"/>
          <w:bCs w:val="0"/>
          <w:color w:val="auto"/>
          <w:kern w:val="0"/>
          <w:sz w:val="32"/>
          <w:szCs w:val="32"/>
          <w:lang w:val="en-US" w:eastAsia="zh-CN" w:bidi="ar"/>
        </w:rPr>
        <w:t>第</w:t>
      </w:r>
      <w:r>
        <w:rPr>
          <w:rFonts w:hint="eastAsia" w:ascii="黑体" w:eastAsia="黑体" w:cs="黑体"/>
          <w:b w:val="0"/>
          <w:bCs w:val="0"/>
          <w:color w:val="auto"/>
          <w:kern w:val="0"/>
          <w:sz w:val="32"/>
          <w:szCs w:val="32"/>
          <w:lang w:val="en-US" w:eastAsia="zh-CN" w:bidi="ar"/>
        </w:rPr>
        <w:t>九</w:t>
      </w:r>
      <w:r>
        <w:rPr>
          <w:rFonts w:hint="eastAsia" w:ascii="黑体" w:hAnsi="宋体" w:eastAsia="黑体" w:cs="黑体"/>
          <w:b w:val="0"/>
          <w:bCs w:val="0"/>
          <w:color w:val="auto"/>
          <w:kern w:val="0"/>
          <w:sz w:val="32"/>
          <w:szCs w:val="32"/>
          <w:lang w:val="en-US" w:eastAsia="zh-CN" w:bidi="ar"/>
        </w:rPr>
        <w:t>条</w:t>
      </w:r>
      <w:r>
        <w:rPr>
          <w:rFonts w:hint="eastAsia" w:ascii="Times New Roman" w:hAnsi="Times New Roman" w:eastAsia="黑体" w:cs="Times New Roman"/>
          <w:b w:val="0"/>
          <w:bCs w:val="0"/>
          <w:color w:val="auto"/>
          <w:kern w:val="0"/>
          <w:sz w:val="32"/>
          <w:szCs w:val="32"/>
          <w:lang w:val="en-US" w:eastAsia="zh-CN" w:bidi="ar"/>
        </w:rPr>
        <w:t xml:space="preserve"> </w:t>
      </w:r>
      <w:r>
        <w:rPr>
          <w:rStyle w:val="7"/>
          <w:rFonts w:hint="eastAsia" w:ascii="仿宋_GB2312" w:hAnsi="仿宋_GB2312" w:eastAsia="仿宋_GB2312" w:cs="仿宋_GB2312"/>
          <w:b w:val="0"/>
          <w:bCs w:val="0"/>
          <w:color w:val="auto"/>
          <w:sz w:val="32"/>
          <w:szCs w:val="32"/>
          <w:lang w:val="en-US" w:eastAsia="zh-CN" w:bidi="ar"/>
        </w:rPr>
        <w:t>经医疗机构或康复机构规范诊疗、失能状态持续6个月以上的参保人员，可向医疗保障经办机构或定点长护服务机构提出长护险失能等级评估申请。经评估符合国家规定的重度失能人员等级标准的，可享受长护险待遇。重度失能等级评估结论有效期一般不超过2年。</w:t>
      </w:r>
    </w:p>
    <w:p w14:paraId="28D53BDC">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黑体" w:hAnsi="宋体" w:eastAsia="黑体" w:cs="黑体"/>
          <w:b w:val="0"/>
          <w:bCs w:val="0"/>
          <w:color w:val="auto"/>
          <w:kern w:val="0"/>
          <w:sz w:val="32"/>
          <w:szCs w:val="32"/>
          <w:lang w:val="en-US" w:eastAsia="zh-CN" w:bidi="ar"/>
        </w:rPr>
        <w:t>第</w:t>
      </w:r>
      <w:r>
        <w:rPr>
          <w:rFonts w:hint="eastAsia" w:ascii="黑体" w:eastAsia="黑体" w:cs="黑体"/>
          <w:b w:val="0"/>
          <w:bCs w:val="0"/>
          <w:color w:val="auto"/>
          <w:kern w:val="0"/>
          <w:sz w:val="32"/>
          <w:szCs w:val="32"/>
          <w:lang w:val="en-US" w:eastAsia="zh-CN" w:bidi="ar"/>
        </w:rPr>
        <w:t>十</w:t>
      </w:r>
      <w:r>
        <w:rPr>
          <w:rFonts w:hint="eastAsia" w:ascii="黑体" w:hAnsi="宋体" w:eastAsia="黑体" w:cs="黑体"/>
          <w:b w:val="0"/>
          <w:bCs w:val="0"/>
          <w:color w:val="auto"/>
          <w:kern w:val="0"/>
          <w:sz w:val="32"/>
          <w:szCs w:val="32"/>
          <w:lang w:val="en-US" w:eastAsia="zh-CN" w:bidi="ar"/>
        </w:rPr>
        <w:t>条</w:t>
      </w:r>
      <w:r>
        <w:rPr>
          <w:rFonts w:hint="eastAsia" w:ascii="Times New Roman" w:hAnsi="Times New Roman" w:eastAsia="黑体" w:cs="Times New Roman"/>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失能评定标准按照</w:t>
      </w:r>
      <w:r>
        <w:rPr>
          <w:rFonts w:hint="eastAsia" w:ascii="仿宋_GB2312" w:hAnsi="仿宋_GB2312" w:eastAsia="仿宋_GB2312" w:cs="仿宋_GB2312"/>
          <w:color w:val="auto"/>
          <w:sz w:val="32"/>
          <w:szCs w:val="32"/>
          <w:shd w:val="clear" w:color="auto" w:fill="FFFFFF"/>
          <w:lang w:val="en-US" w:eastAsia="zh-CN"/>
        </w:rPr>
        <w:t>国家医疗保障局</w:t>
      </w:r>
      <w:r>
        <w:rPr>
          <w:rFonts w:hint="eastAsia" w:ascii="仿宋_GB2312" w:hAnsi="仿宋_GB2312" w:eastAsia="仿宋_GB2312" w:cs="仿宋_GB2312"/>
          <w:b w:val="0"/>
          <w:bCs w:val="0"/>
          <w:color w:val="auto"/>
          <w:kern w:val="0"/>
          <w:sz w:val="32"/>
          <w:szCs w:val="32"/>
          <w:lang w:val="en-US"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长期护理保险失能等级评估管理办法（试行）</w:t>
      </w:r>
      <w:r>
        <w:rPr>
          <w:rFonts w:hint="eastAsia" w:ascii="仿宋_GB2312" w:hAnsi="仿宋_GB2312" w:eastAsia="仿宋_GB2312" w:cs="仿宋_GB2312"/>
          <w:b w:val="0"/>
          <w:bCs w:val="0"/>
          <w:color w:val="auto"/>
          <w:kern w:val="0"/>
          <w:sz w:val="32"/>
          <w:szCs w:val="32"/>
          <w:lang w:val="en-US"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长期护理失能等级评估标准（试行）</w:t>
      </w:r>
      <w:r>
        <w:rPr>
          <w:rFonts w:hint="eastAsia" w:ascii="仿宋_GB2312" w:hAnsi="仿宋_GB2312" w:eastAsia="仿宋_GB2312" w:cs="仿宋_GB2312"/>
          <w:b w:val="0"/>
          <w:bCs w:val="0"/>
          <w:color w:val="auto"/>
          <w:kern w:val="0"/>
          <w:sz w:val="32"/>
          <w:szCs w:val="32"/>
          <w:lang w:val="en-US" w:eastAsia="zh-CN" w:bidi="ar"/>
        </w:rPr>
        <w:t>》《长期护理保险失能等级评估操作指南（试行）》的规定执行。国家、省有新规定的，从其规定。</w:t>
      </w:r>
    </w:p>
    <w:p w14:paraId="101030CE">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32"/>
        </w:rPr>
      </w:pPr>
      <w:r>
        <w:rPr>
          <w:rFonts w:hint="eastAsia" w:ascii="黑体" w:hAnsi="宋体" w:eastAsia="黑体" w:cs="黑体"/>
          <w:b w:val="0"/>
          <w:bCs w:val="0"/>
          <w:color w:val="auto"/>
          <w:kern w:val="0"/>
          <w:sz w:val="32"/>
          <w:szCs w:val="32"/>
          <w:lang w:val="en-US" w:eastAsia="zh-CN" w:bidi="ar"/>
        </w:rPr>
        <w:t>第十</w:t>
      </w:r>
      <w:r>
        <w:rPr>
          <w:rFonts w:hint="eastAsia" w:ascii="黑体" w:eastAsia="黑体" w:cs="黑体"/>
          <w:b w:val="0"/>
          <w:bCs w:val="0"/>
          <w:color w:val="auto"/>
          <w:kern w:val="0"/>
          <w:sz w:val="32"/>
          <w:szCs w:val="32"/>
          <w:lang w:val="en-US" w:eastAsia="zh-CN" w:bidi="ar"/>
        </w:rPr>
        <w:t>一</w:t>
      </w:r>
      <w:r>
        <w:rPr>
          <w:rFonts w:hint="eastAsia" w:ascii="黑体" w:hAnsi="宋体" w:eastAsia="黑体" w:cs="黑体"/>
          <w:b w:val="0"/>
          <w:bCs w:val="0"/>
          <w:color w:val="auto"/>
          <w:kern w:val="0"/>
          <w:sz w:val="32"/>
          <w:szCs w:val="32"/>
          <w:lang w:val="en-US" w:eastAsia="zh-CN" w:bidi="ar"/>
        </w:rPr>
        <w:t>条</w:t>
      </w:r>
      <w:r>
        <w:rPr>
          <w:rFonts w:hint="eastAsia" w:ascii="Times New Roman" w:hAnsi="Times New Roman" w:eastAsia="黑体" w:cs="Times New Roman"/>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kern w:val="2"/>
          <w:sz w:val="32"/>
          <w:szCs w:val="32"/>
          <w:lang w:val="en-US" w:eastAsia="zh-CN" w:bidi="ar"/>
        </w:rPr>
        <w:t>申请成为定点评估机构的，应当符合《长期护理保险失能等级评估机构定点管理办法(试行)》规定的条件。经审核合格后与统筹地区医疗保障经办机构签订长护险服务协议，实行协议管理。</w:t>
      </w:r>
    </w:p>
    <w:p w14:paraId="093C10A0">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color w:val="auto"/>
          <w:kern w:val="2"/>
          <w:sz w:val="32"/>
          <w:szCs w:val="32"/>
        </w:rPr>
      </w:pPr>
      <w:r>
        <w:rPr>
          <w:rFonts w:hint="eastAsia" w:ascii="黑体" w:hAnsi="宋体" w:eastAsia="黑体" w:cs="黑体"/>
          <w:b w:val="0"/>
          <w:bCs w:val="0"/>
          <w:color w:val="auto"/>
          <w:kern w:val="2"/>
          <w:sz w:val="32"/>
          <w:szCs w:val="32"/>
          <w:lang w:val="en-US" w:eastAsia="zh-CN" w:bidi="ar"/>
        </w:rPr>
        <w:t>第十</w:t>
      </w:r>
      <w:r>
        <w:rPr>
          <w:rFonts w:hint="eastAsia" w:ascii="黑体" w:eastAsia="黑体" w:cs="黑体"/>
          <w:b w:val="0"/>
          <w:bCs w:val="0"/>
          <w:color w:val="auto"/>
          <w:kern w:val="2"/>
          <w:sz w:val="32"/>
          <w:szCs w:val="32"/>
          <w:lang w:val="en-US" w:eastAsia="zh-CN" w:bidi="ar"/>
        </w:rPr>
        <w:t>二</w:t>
      </w:r>
      <w:r>
        <w:rPr>
          <w:rFonts w:hint="eastAsia" w:ascii="黑体" w:hAnsi="宋体" w:eastAsia="黑体" w:cs="黑体"/>
          <w:b w:val="0"/>
          <w:bCs w:val="0"/>
          <w:color w:val="auto"/>
          <w:kern w:val="2"/>
          <w:sz w:val="32"/>
          <w:szCs w:val="32"/>
          <w:lang w:val="en-US" w:eastAsia="zh-CN" w:bidi="ar"/>
        </w:rPr>
        <w:t xml:space="preserve">条 </w:t>
      </w:r>
      <w:r>
        <w:rPr>
          <w:rFonts w:hint="eastAsia" w:ascii="仿宋_GB2312" w:hAnsi="仿宋_GB2312" w:eastAsia="仿宋_GB2312" w:cs="仿宋_GB2312"/>
          <w:b w:val="0"/>
          <w:bCs w:val="0"/>
          <w:color w:val="auto"/>
          <w:kern w:val="2"/>
          <w:sz w:val="32"/>
          <w:szCs w:val="32"/>
          <w:lang w:val="en-US" w:eastAsia="zh-CN" w:bidi="ar"/>
        </w:rPr>
        <w:t>鼓励支持发展独立的评估机构。</w:t>
      </w:r>
      <w:r>
        <w:rPr>
          <w:rFonts w:hint="eastAsia" w:ascii="仿宋_GB2312" w:hAnsi="仿宋_GB2312" w:eastAsia="仿宋_GB2312" w:cs="仿宋_GB2312"/>
          <w:b w:val="0"/>
          <w:bCs w:val="0"/>
          <w:color w:val="auto"/>
          <w:kern w:val="2"/>
          <w:sz w:val="32"/>
          <w:szCs w:val="32"/>
          <w:highlight w:val="none"/>
          <w:lang w:val="en-US" w:eastAsia="zh-CN" w:bidi="ar"/>
        </w:rPr>
        <w:t>试行期间</w:t>
      </w:r>
      <w:r>
        <w:rPr>
          <w:rFonts w:hint="eastAsia" w:ascii="仿宋_GB2312" w:hAnsi="仿宋_GB2312" w:eastAsia="仿宋_GB2312" w:cs="仿宋_GB2312"/>
          <w:b w:val="0"/>
          <w:bCs w:val="0"/>
          <w:color w:val="auto"/>
          <w:kern w:val="2"/>
          <w:sz w:val="32"/>
          <w:szCs w:val="32"/>
          <w:lang w:val="en-US" w:eastAsia="zh-CN" w:bidi="ar"/>
        </w:rPr>
        <w:t>暂不具备实施条件时，由医疗保障经办机构确定医疗机构、劳动能力鉴定机构、商业保险机构等签订协议实施评估。</w:t>
      </w:r>
    </w:p>
    <w:p w14:paraId="2C8F88A7">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color w:val="auto"/>
          <w:kern w:val="2"/>
          <w:sz w:val="32"/>
          <w:szCs w:val="32"/>
        </w:rPr>
      </w:pPr>
      <w:r>
        <w:rPr>
          <w:rFonts w:hint="eastAsia" w:ascii="黑体" w:hAnsi="宋体" w:eastAsia="黑体" w:cs="黑体"/>
          <w:b w:val="0"/>
          <w:bCs w:val="0"/>
          <w:color w:val="auto"/>
          <w:kern w:val="0"/>
          <w:sz w:val="32"/>
          <w:szCs w:val="32"/>
          <w:lang w:val="en-US" w:eastAsia="zh-CN" w:bidi="ar"/>
        </w:rPr>
        <w:t>第十</w:t>
      </w:r>
      <w:r>
        <w:rPr>
          <w:rFonts w:hint="eastAsia" w:ascii="黑体" w:eastAsia="黑体" w:cs="黑体"/>
          <w:b w:val="0"/>
          <w:bCs w:val="0"/>
          <w:color w:val="auto"/>
          <w:kern w:val="0"/>
          <w:sz w:val="32"/>
          <w:szCs w:val="32"/>
          <w:lang w:val="en-US" w:eastAsia="zh-CN" w:bidi="ar"/>
        </w:rPr>
        <w:t>三</w:t>
      </w:r>
      <w:r>
        <w:rPr>
          <w:rFonts w:hint="eastAsia" w:ascii="黑体" w:hAnsi="宋体" w:eastAsia="黑体" w:cs="黑体"/>
          <w:b w:val="0"/>
          <w:bCs w:val="0"/>
          <w:color w:val="auto"/>
          <w:kern w:val="0"/>
          <w:sz w:val="32"/>
          <w:szCs w:val="32"/>
          <w:lang w:val="en-US" w:eastAsia="zh-CN" w:bidi="ar"/>
        </w:rPr>
        <w:t>条</w:t>
      </w:r>
      <w:r>
        <w:rPr>
          <w:rFonts w:hint="eastAsia" w:ascii="Times New Roman" w:hAnsi="Times New Roman" w:eastAsia="黑体" w:cs="Times New Roman"/>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kern w:val="2"/>
          <w:sz w:val="32"/>
          <w:szCs w:val="32"/>
          <w:lang w:val="en-US" w:eastAsia="zh-CN" w:bidi="ar"/>
        </w:rPr>
        <w:t>失能等级评估流程主要包括评估申请、受理审核、现场评估、提出结论、公示与送达等环节。</w:t>
      </w:r>
    </w:p>
    <w:p w14:paraId="5286A2DA">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32"/>
        </w:rPr>
      </w:pPr>
      <w:r>
        <w:rPr>
          <w:rFonts w:hint="eastAsia" w:ascii="黑体" w:hAnsi="宋体" w:eastAsia="黑体" w:cs="黑体"/>
          <w:b w:val="0"/>
          <w:bCs w:val="0"/>
          <w:color w:val="auto"/>
          <w:kern w:val="0"/>
          <w:sz w:val="32"/>
          <w:szCs w:val="32"/>
          <w:lang w:val="en-US" w:eastAsia="zh-CN" w:bidi="ar"/>
        </w:rPr>
        <w:t>第十</w:t>
      </w:r>
      <w:r>
        <w:rPr>
          <w:rFonts w:hint="eastAsia" w:ascii="黑体" w:eastAsia="黑体" w:cs="黑体"/>
          <w:b w:val="0"/>
          <w:bCs w:val="0"/>
          <w:color w:val="auto"/>
          <w:kern w:val="0"/>
          <w:sz w:val="32"/>
          <w:szCs w:val="32"/>
          <w:lang w:val="en-US" w:eastAsia="zh-CN" w:bidi="ar"/>
        </w:rPr>
        <w:t>四</w:t>
      </w:r>
      <w:r>
        <w:rPr>
          <w:rFonts w:hint="eastAsia" w:ascii="黑体" w:hAnsi="宋体" w:eastAsia="黑体" w:cs="黑体"/>
          <w:b w:val="0"/>
          <w:bCs w:val="0"/>
          <w:color w:val="auto"/>
          <w:kern w:val="0"/>
          <w:sz w:val="32"/>
          <w:szCs w:val="32"/>
          <w:lang w:val="en-US" w:eastAsia="zh-CN" w:bidi="ar"/>
        </w:rPr>
        <w:t>条</w:t>
      </w:r>
      <w:r>
        <w:rPr>
          <w:rFonts w:hint="eastAsia" w:ascii="Times New Roman" w:hAnsi="Times New Roman" w:eastAsia="黑体" w:cs="Times New Roman"/>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kern w:val="2"/>
          <w:sz w:val="32"/>
          <w:szCs w:val="32"/>
          <w:lang w:val="en-US" w:eastAsia="zh-CN" w:bidi="ar"/>
        </w:rPr>
        <w:t>参保人员对失能等级评估结论有异议的，可在收到评估结论之日起5个工作日内，向医疗保障经办机构提出复评申请。医保经办机构应组织评估专家对参保人进行复评，复核评定结论为最终评估结论。</w:t>
      </w:r>
    </w:p>
    <w:p w14:paraId="67283EFA">
      <w:pPr>
        <w:pStyle w:val="4"/>
        <w:keepNext w:val="0"/>
        <w:keepLines w:val="0"/>
        <w:pageBreakBefore w:val="0"/>
        <w:widowControl w:val="0"/>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32"/>
        </w:rPr>
      </w:pPr>
      <w:r>
        <w:rPr>
          <w:rFonts w:hint="eastAsia" w:ascii="黑体" w:hAnsi="宋体" w:eastAsia="黑体" w:cs="黑体"/>
          <w:b w:val="0"/>
          <w:bCs w:val="0"/>
          <w:color w:val="auto"/>
          <w:kern w:val="0"/>
          <w:sz w:val="32"/>
          <w:szCs w:val="32"/>
          <w:lang w:val="en-US" w:eastAsia="zh-CN" w:bidi="ar"/>
        </w:rPr>
        <w:t>第十</w:t>
      </w:r>
      <w:r>
        <w:rPr>
          <w:rFonts w:hint="eastAsia" w:ascii="黑体" w:eastAsia="黑体" w:cs="黑体"/>
          <w:b w:val="0"/>
          <w:bCs w:val="0"/>
          <w:color w:val="auto"/>
          <w:kern w:val="0"/>
          <w:sz w:val="32"/>
          <w:szCs w:val="32"/>
          <w:lang w:val="en-US" w:eastAsia="zh-CN" w:bidi="ar"/>
        </w:rPr>
        <w:t>五</w:t>
      </w:r>
      <w:r>
        <w:rPr>
          <w:rFonts w:hint="eastAsia" w:ascii="黑体" w:hAnsi="宋体" w:eastAsia="黑体" w:cs="黑体"/>
          <w:b w:val="0"/>
          <w:bCs w:val="0"/>
          <w:color w:val="auto"/>
          <w:kern w:val="0"/>
          <w:sz w:val="32"/>
          <w:szCs w:val="32"/>
          <w:lang w:val="en-US" w:eastAsia="zh-CN" w:bidi="ar"/>
        </w:rPr>
        <w:t>条</w:t>
      </w:r>
      <w:r>
        <w:rPr>
          <w:rFonts w:hint="eastAsia" w:ascii="Times New Roman" w:hAnsi="Times New Roman" w:eastAsia="黑体" w:cs="Times New Roman"/>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kern w:val="2"/>
          <w:sz w:val="32"/>
          <w:szCs w:val="32"/>
          <w:lang w:val="en-US" w:eastAsia="zh-CN" w:bidi="ar"/>
        </w:rPr>
        <w:t>市医疗保障行政部门联合卫生健康部门等共同组建长护险失能等级评估人员专家库，评估专家主要负责开展执行评估工作、复评处理、提出护理计划以及参与评估相关政策文件的研讨。</w:t>
      </w:r>
    </w:p>
    <w:p w14:paraId="6EFA7E5D">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outlineLvl w:val="1"/>
        <w:rPr>
          <w:rFonts w:hint="eastAsia" w:ascii="仿宋_GB2312" w:hAnsi="仿宋_GB2312" w:eastAsia="仿宋_GB2312" w:cs="仿宋_GB2312"/>
          <w:b w:val="0"/>
          <w:bCs w:val="0"/>
          <w:color w:val="auto"/>
          <w:kern w:val="0"/>
          <w:sz w:val="32"/>
          <w:szCs w:val="32"/>
        </w:rPr>
      </w:pPr>
      <w:r>
        <w:rPr>
          <w:rFonts w:hint="eastAsia" w:ascii="黑体" w:hAnsi="宋体" w:eastAsia="黑体" w:cs="黑体"/>
          <w:b w:val="0"/>
          <w:bCs w:val="0"/>
          <w:color w:val="auto"/>
          <w:kern w:val="0"/>
          <w:sz w:val="32"/>
          <w:szCs w:val="32"/>
          <w:lang w:val="en-US" w:eastAsia="zh-CN" w:bidi="ar"/>
        </w:rPr>
        <w:t>第十</w:t>
      </w:r>
      <w:r>
        <w:rPr>
          <w:rFonts w:hint="eastAsia" w:ascii="黑体" w:eastAsia="黑体" w:cs="黑体"/>
          <w:b w:val="0"/>
          <w:bCs w:val="0"/>
          <w:color w:val="auto"/>
          <w:kern w:val="0"/>
          <w:sz w:val="32"/>
          <w:szCs w:val="32"/>
          <w:lang w:val="en-US" w:eastAsia="zh-CN" w:bidi="ar"/>
        </w:rPr>
        <w:t>六</w:t>
      </w:r>
      <w:r>
        <w:rPr>
          <w:rFonts w:hint="eastAsia" w:ascii="黑体" w:hAnsi="宋体" w:eastAsia="黑体" w:cs="黑体"/>
          <w:b w:val="0"/>
          <w:bCs w:val="0"/>
          <w:color w:val="auto"/>
          <w:kern w:val="0"/>
          <w:sz w:val="32"/>
          <w:szCs w:val="32"/>
          <w:lang w:val="en-US" w:eastAsia="zh-CN" w:bidi="ar"/>
        </w:rPr>
        <w:t>条</w:t>
      </w:r>
      <w:r>
        <w:rPr>
          <w:rFonts w:hint="eastAsia" w:ascii="Times New Roman" w:hAnsi="Times New Roman" w:eastAsia="黑体" w:cs="Times New Roman"/>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申请人有下列情形之一的，不予受理失能等级评估申请：</w:t>
      </w:r>
    </w:p>
    <w:p w14:paraId="1344E7E9">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（一）未参加本市长护险的；</w:t>
      </w:r>
    </w:p>
    <w:p w14:paraId="50AC33E5">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（二）不符合待遇享受条件的；</w:t>
      </w:r>
    </w:p>
    <w:p w14:paraId="3F2E1892">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（三）申报材料不全或提供虚假材料的；</w:t>
      </w:r>
    </w:p>
    <w:p w14:paraId="56026374">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（四）患有急需治疗的各种危重疾病，病情不稳定的；</w:t>
      </w:r>
    </w:p>
    <w:p w14:paraId="2AC1F2D4">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（五）申请评估时处于中断缴费或医保待遇等待期的；</w:t>
      </w:r>
    </w:p>
    <w:p w14:paraId="0FAE08DF">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（六）距上次评定结论作出未满6个月的；</w:t>
      </w:r>
    </w:p>
    <w:p w14:paraId="70A3D948">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（七）异地居住的参保人员；</w:t>
      </w:r>
    </w:p>
    <w:p w14:paraId="6D542A5E">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（八）失智或患有重度精神类疾病的；</w:t>
      </w:r>
    </w:p>
    <w:p w14:paraId="218A840B">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leftChars="0" w:right="0" w:firstLine="640" w:firstLineChars="200"/>
        <w:jc w:val="both"/>
        <w:textAlignment w:val="auto"/>
        <w:rPr>
          <w:rFonts w:hint="eastAsia" w:ascii="仿宋" w:hAnsi="仿宋" w:eastAsia="仿宋" w:cs="仿宋"/>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（九）其他长护险不予受理评估申请的情形。</w:t>
      </w:r>
    </w:p>
    <w:p w14:paraId="0579164B">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32"/>
        </w:rPr>
      </w:pPr>
      <w:r>
        <w:rPr>
          <w:rFonts w:hint="eastAsia" w:ascii="黑体" w:hAnsi="宋体" w:eastAsia="黑体" w:cs="黑体"/>
          <w:b w:val="0"/>
          <w:bCs w:val="0"/>
          <w:color w:val="auto"/>
          <w:kern w:val="0"/>
          <w:sz w:val="32"/>
          <w:szCs w:val="32"/>
          <w:lang w:val="en-US" w:eastAsia="zh-CN" w:bidi="ar"/>
        </w:rPr>
        <w:t>第十七条</w:t>
      </w:r>
      <w:r>
        <w:rPr>
          <w:rFonts w:hint="eastAsia" w:ascii="Times New Roman" w:hAnsi="Times New Roman" w:eastAsia="黑体" w:cs="Times New Roman"/>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kern w:val="2"/>
          <w:sz w:val="32"/>
          <w:szCs w:val="32"/>
          <w:lang w:val="en-US" w:eastAsia="zh-CN" w:bidi="ar"/>
        </w:rPr>
        <w:t>建立失能等级评估费用分担机制。评估费用统一设置为每人次200元，先由参保人员预缴并按以下比例分担：</w:t>
      </w:r>
    </w:p>
    <w:p w14:paraId="52CC6C7D">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32"/>
        </w:rPr>
      </w:pPr>
      <w:r>
        <w:rPr>
          <w:rFonts w:hint="eastAsia" w:ascii="仿宋_GB2312" w:hAnsi="仿宋_GB2312" w:eastAsia="仿宋_GB2312" w:cs="仿宋_GB2312"/>
          <w:b w:val="0"/>
          <w:bCs w:val="0"/>
          <w:color w:val="auto"/>
          <w:kern w:val="2"/>
          <w:sz w:val="32"/>
          <w:szCs w:val="32"/>
          <w:lang w:val="en-US" w:eastAsia="zh-CN" w:bidi="ar"/>
        </w:rPr>
        <w:t>（一）初评符合条件的，评估费用由长护险基金全额承担；初评不符合条件的，评估费用由长护险基金与参保人员各承担一半。</w:t>
      </w:r>
    </w:p>
    <w:p w14:paraId="2886B366">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32"/>
        </w:rPr>
      </w:pPr>
      <w:r>
        <w:rPr>
          <w:rFonts w:hint="eastAsia" w:ascii="仿宋_GB2312" w:hAnsi="仿宋_GB2312" w:eastAsia="仿宋_GB2312" w:cs="仿宋_GB2312"/>
          <w:b w:val="0"/>
          <w:bCs w:val="0"/>
          <w:color w:val="auto"/>
          <w:kern w:val="2"/>
          <w:sz w:val="32"/>
          <w:szCs w:val="32"/>
          <w:lang w:val="en-US" w:eastAsia="zh-CN" w:bidi="ar"/>
        </w:rPr>
        <w:t>（二）初评不符合条件申请复评的，复评结论符合享受长护险待遇的，评估费用由初评评估机构全额承担；复评仍不符合条件的，评估费用由参保人员全额承担。</w:t>
      </w:r>
    </w:p>
    <w:p w14:paraId="65053CF7">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32"/>
        </w:rPr>
      </w:pPr>
      <w:r>
        <w:rPr>
          <w:rFonts w:hint="eastAsia" w:ascii="仿宋_GB2312" w:hAnsi="仿宋_GB2312" w:eastAsia="仿宋_GB2312" w:cs="仿宋_GB2312"/>
          <w:b w:val="0"/>
          <w:bCs w:val="0"/>
          <w:color w:val="auto"/>
          <w:kern w:val="2"/>
          <w:sz w:val="32"/>
          <w:szCs w:val="32"/>
          <w:lang w:val="en-US" w:eastAsia="zh-CN" w:bidi="ar"/>
        </w:rPr>
        <w:t>（三）初次评估结论出具满6个月后重新评估符合条件的，评估费用由长护险基金全额承担；重新评估不符合条件的，评估费用由长护险基金与参保人员各承担一半。</w:t>
      </w:r>
    </w:p>
    <w:p w14:paraId="41EC87D4">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32"/>
        </w:rPr>
      </w:pPr>
      <w:r>
        <w:rPr>
          <w:rFonts w:hint="eastAsia" w:ascii="仿宋_GB2312" w:hAnsi="仿宋_GB2312" w:eastAsia="仿宋_GB2312" w:cs="仿宋_GB2312"/>
          <w:b w:val="0"/>
          <w:bCs w:val="0"/>
          <w:color w:val="auto"/>
          <w:kern w:val="2"/>
          <w:sz w:val="32"/>
          <w:szCs w:val="32"/>
          <w:lang w:val="en-US" w:eastAsia="zh-CN" w:bidi="ar"/>
        </w:rPr>
        <w:t>（四）评估有效期届满前重新评估的，评估费用参照上述要求执行。</w:t>
      </w:r>
    </w:p>
    <w:p w14:paraId="71EA00B7">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32"/>
        </w:rPr>
      </w:pPr>
      <w:r>
        <w:rPr>
          <w:rFonts w:hint="eastAsia" w:ascii="仿宋_GB2312" w:hAnsi="仿宋_GB2312" w:eastAsia="仿宋_GB2312" w:cs="仿宋_GB2312"/>
          <w:b w:val="0"/>
          <w:bCs w:val="0"/>
          <w:color w:val="auto"/>
          <w:kern w:val="2"/>
          <w:sz w:val="32"/>
          <w:szCs w:val="32"/>
          <w:lang w:val="en-US" w:eastAsia="zh-CN" w:bidi="ar"/>
        </w:rPr>
        <w:t>（五）评估过程因评估机构或其评估人员个人原因造成中断，导致本次评估工作无法完成的，评估费用由评估机构全额承担。</w:t>
      </w:r>
    </w:p>
    <w:p w14:paraId="21C0EB44">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32"/>
        </w:rPr>
      </w:pPr>
      <w:r>
        <w:rPr>
          <w:rFonts w:hint="eastAsia" w:ascii="仿宋_GB2312" w:hAnsi="仿宋_GB2312" w:eastAsia="仿宋_GB2312" w:cs="仿宋_GB2312"/>
          <w:b w:val="0"/>
          <w:bCs w:val="0"/>
          <w:color w:val="auto"/>
          <w:kern w:val="2"/>
          <w:sz w:val="32"/>
          <w:szCs w:val="32"/>
          <w:lang w:val="en-US" w:eastAsia="zh-CN" w:bidi="ar"/>
        </w:rPr>
        <w:t>（六）因申请人提交虚假资料及信息、不配合评估等导致评估终止的，当次评估费用由参保人员全额承担。</w:t>
      </w:r>
    </w:p>
    <w:p w14:paraId="0FFF1C02">
      <w:pPr>
        <w:pStyle w:val="4"/>
        <w:keepNext w:val="0"/>
        <w:keepLines w:val="0"/>
        <w:pageBreakBefore w:val="0"/>
        <w:widowControl/>
        <w:suppressLineNumbers w:val="0"/>
        <w:kinsoku/>
        <w:overflowPunct/>
        <w:topLinePunct w:val="0"/>
        <w:autoSpaceDN/>
        <w:bidi w:val="0"/>
        <w:snapToGrid/>
        <w:spacing w:before="0" w:beforeAutospacing="0" w:after="0" w:afterAutospacing="0" w:line="560" w:lineRule="exact"/>
        <w:ind w:left="0" w:right="0" w:firstLine="640" w:firstLineChars="200"/>
        <w:jc w:val="center"/>
        <w:textAlignment w:val="auto"/>
        <w:outlineLvl w:val="0"/>
        <w:rPr>
          <w:rFonts w:hint="eastAsia" w:ascii="黑体" w:hAnsi="宋体" w:eastAsia="黑体" w:cs="黑体"/>
          <w:b w:val="0"/>
          <w:bCs w:val="0"/>
          <w:color w:val="auto"/>
          <w:kern w:val="0"/>
          <w:sz w:val="32"/>
          <w:szCs w:val="32"/>
          <w:lang w:val="en-US" w:eastAsia="zh-CN" w:bidi="ar"/>
        </w:rPr>
      </w:pPr>
    </w:p>
    <w:p w14:paraId="2CBE9C7B">
      <w:pPr>
        <w:pStyle w:val="4"/>
        <w:keepNext w:val="0"/>
        <w:keepLines w:val="0"/>
        <w:pageBreakBefore w:val="0"/>
        <w:widowControl/>
        <w:suppressLineNumbers w:val="0"/>
        <w:kinsoku/>
        <w:overflowPunct/>
        <w:topLinePunct w:val="0"/>
        <w:autoSpaceDN/>
        <w:bidi w:val="0"/>
        <w:snapToGrid/>
        <w:spacing w:before="0" w:beforeAutospacing="0" w:after="0" w:afterAutospacing="0" w:line="560" w:lineRule="exact"/>
        <w:ind w:left="0" w:right="0" w:firstLine="0" w:firstLineChars="0"/>
        <w:jc w:val="center"/>
        <w:textAlignment w:val="auto"/>
        <w:outlineLvl w:val="0"/>
        <w:rPr>
          <w:rFonts w:hint="default" w:ascii="Times New Roman" w:hAnsi="Times New Roman" w:eastAsia="仿宋_GB2312" w:cs="Times New Roman"/>
          <w:b w:val="0"/>
          <w:bCs w:val="0"/>
          <w:color w:val="auto"/>
          <w:kern w:val="0"/>
          <w:sz w:val="32"/>
          <w:szCs w:val="32"/>
        </w:rPr>
      </w:pPr>
      <w:r>
        <w:rPr>
          <w:rFonts w:hint="eastAsia" w:ascii="黑体" w:hAnsi="宋体" w:eastAsia="黑体" w:cs="黑体"/>
          <w:b w:val="0"/>
          <w:bCs w:val="0"/>
          <w:color w:val="auto"/>
          <w:kern w:val="0"/>
          <w:sz w:val="32"/>
          <w:szCs w:val="32"/>
          <w:lang w:val="en-US" w:eastAsia="zh-CN" w:bidi="ar"/>
        </w:rPr>
        <w:t>第四章</w:t>
      </w:r>
      <w:r>
        <w:rPr>
          <w:rFonts w:hint="default" w:ascii="Times New Roman" w:hAnsi="Times New Roman" w:eastAsia="黑体" w:cs="Times New Roman"/>
          <w:b w:val="0"/>
          <w:bCs w:val="0"/>
          <w:color w:val="auto"/>
          <w:kern w:val="0"/>
          <w:sz w:val="32"/>
          <w:szCs w:val="32"/>
          <w:lang w:val="en-US" w:eastAsia="zh-CN" w:bidi="ar"/>
        </w:rPr>
        <w:t xml:space="preserve"> </w:t>
      </w:r>
      <w:r>
        <w:rPr>
          <w:rFonts w:hint="eastAsia" w:ascii="黑体" w:hAnsi="宋体" w:eastAsia="黑体" w:cs="黑体"/>
          <w:b w:val="0"/>
          <w:bCs w:val="0"/>
          <w:color w:val="auto"/>
          <w:kern w:val="0"/>
          <w:sz w:val="32"/>
          <w:szCs w:val="32"/>
          <w:lang w:val="en-US" w:eastAsia="zh-CN" w:bidi="ar"/>
        </w:rPr>
        <w:t>待遇保障</w:t>
      </w:r>
    </w:p>
    <w:p w14:paraId="07D03C65">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黑体" w:hAnsi="宋体" w:eastAsia="黑体" w:cs="黑体"/>
          <w:b w:val="0"/>
          <w:bCs w:val="0"/>
          <w:color w:val="auto"/>
          <w:kern w:val="0"/>
          <w:sz w:val="32"/>
          <w:szCs w:val="32"/>
          <w:lang w:val="en-US" w:eastAsia="zh-CN" w:bidi="ar"/>
        </w:rPr>
      </w:pPr>
    </w:p>
    <w:p w14:paraId="305A3143">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黑体" w:hAnsi="宋体" w:eastAsia="黑体" w:cs="黑体"/>
          <w:b w:val="0"/>
          <w:bCs w:val="0"/>
          <w:color w:val="auto"/>
          <w:kern w:val="0"/>
          <w:sz w:val="32"/>
          <w:szCs w:val="32"/>
          <w:lang w:val="en-US" w:eastAsia="zh-CN" w:bidi="ar"/>
        </w:rPr>
        <w:t>第十八条</w:t>
      </w:r>
      <w:r>
        <w:rPr>
          <w:rFonts w:hint="eastAsia" w:ascii="Times New Roman" w:hAnsi="Times New Roman" w:eastAsia="黑体" w:cs="Times New Roman"/>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经申请并通过评估认定的失能参保人员，自评估结论作出次月起，可按照本办法规定选择护理服务方式并享受长护险待遇。</w:t>
      </w:r>
    </w:p>
    <w:p w14:paraId="72808BA1">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黑体" w:hAnsi="宋体" w:eastAsia="黑体" w:cs="黑体"/>
          <w:b w:val="0"/>
          <w:bCs w:val="0"/>
          <w:color w:val="auto"/>
          <w:kern w:val="0"/>
          <w:sz w:val="32"/>
          <w:szCs w:val="32"/>
          <w:lang w:val="en-US" w:eastAsia="zh-CN" w:bidi="ar"/>
        </w:rPr>
        <w:t>第十九条</w:t>
      </w:r>
      <w:r>
        <w:rPr>
          <w:rFonts w:hint="eastAsia" w:ascii="Times New Roman" w:hAnsi="Times New Roman" w:eastAsia="黑体" w:cs="Times New Roman"/>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失能参保人员在本市行政区域内所发生的</w:t>
      </w:r>
      <w:r>
        <w:rPr>
          <w:rFonts w:hint="eastAsia" w:ascii="仿宋_GB2312" w:hAnsi="仿宋_GB2312" w:eastAsia="仿宋_GB2312" w:cs="仿宋_GB2312"/>
          <w:b w:val="0"/>
          <w:bCs w:val="0"/>
          <w:color w:val="auto"/>
          <w:kern w:val="2"/>
          <w:sz w:val="32"/>
          <w:szCs w:val="32"/>
          <w:lang w:val="en-US" w:eastAsia="zh-CN" w:bidi="ar"/>
        </w:rPr>
        <w:t>基本照护服务费</w:t>
      </w:r>
      <w:r>
        <w:rPr>
          <w:rFonts w:hint="eastAsia" w:ascii="仿宋_GB2312" w:hAnsi="仿宋_GB2312" w:eastAsia="仿宋_GB2312" w:cs="仿宋_GB2312"/>
          <w:b w:val="0"/>
          <w:bCs w:val="0"/>
          <w:color w:val="auto"/>
          <w:kern w:val="0"/>
          <w:sz w:val="32"/>
          <w:szCs w:val="32"/>
          <w:lang w:val="en-US" w:eastAsia="zh-CN" w:bidi="ar"/>
        </w:rPr>
        <w:t>由长护险基金按规定支付。</w:t>
      </w:r>
    </w:p>
    <w:p w14:paraId="452EACF0">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黑体" w:hAnsi="宋体" w:eastAsia="黑体" w:cs="黑体"/>
          <w:b w:val="0"/>
          <w:bCs w:val="0"/>
          <w:color w:val="auto"/>
          <w:kern w:val="0"/>
          <w:sz w:val="32"/>
          <w:szCs w:val="32"/>
          <w:lang w:val="en-US" w:eastAsia="zh-CN" w:bidi="ar"/>
        </w:rPr>
        <w:t>第二十条</w:t>
      </w:r>
      <w:r>
        <w:rPr>
          <w:rFonts w:hint="eastAsia" w:ascii="Times New Roman" w:hAnsi="Times New Roman" w:eastAsia="黑体" w:cs="Times New Roman"/>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基本照护服务分为基本生活照料和与基本生活密切相关的医疗护理，具体护理服务项目、支付标准、服务规范由市医疗保障部门另行制定。</w:t>
      </w:r>
    </w:p>
    <w:p w14:paraId="53764CA2">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outlineLvl w:val="1"/>
        <w:rPr>
          <w:rFonts w:hint="eastAsia" w:ascii="仿宋_GB2312" w:hAnsi="仿宋_GB2312" w:eastAsia="仿宋_GB2312" w:cs="仿宋_GB2312"/>
          <w:b w:val="0"/>
          <w:bCs w:val="0"/>
          <w:color w:val="auto"/>
          <w:kern w:val="2"/>
          <w:sz w:val="32"/>
          <w:szCs w:val="32"/>
        </w:rPr>
      </w:pPr>
      <w:r>
        <w:rPr>
          <w:rFonts w:hint="eastAsia" w:ascii="黑体" w:hAnsi="宋体" w:eastAsia="黑体" w:cs="黑体"/>
          <w:b w:val="0"/>
          <w:bCs w:val="0"/>
          <w:color w:val="auto"/>
          <w:kern w:val="0"/>
          <w:sz w:val="32"/>
          <w:szCs w:val="32"/>
          <w:lang w:val="en-US" w:eastAsia="zh-CN" w:bidi="ar"/>
        </w:rPr>
        <w:t>第二十一条</w:t>
      </w:r>
      <w:r>
        <w:rPr>
          <w:rFonts w:hint="eastAsia" w:ascii="Times New Roman" w:hAnsi="Times New Roman" w:eastAsia="黑体" w:cs="Times New Roman"/>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kern w:val="2"/>
          <w:sz w:val="32"/>
          <w:szCs w:val="32"/>
          <w:lang w:val="en-US" w:eastAsia="zh-CN" w:bidi="ar"/>
        </w:rPr>
        <w:t>失能参保人员可根据服务需求，自主选择下列一种服务方式：</w:t>
      </w:r>
    </w:p>
    <w:p w14:paraId="124AFC73">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32"/>
        </w:rPr>
      </w:pPr>
      <w:r>
        <w:rPr>
          <w:rFonts w:hint="eastAsia" w:ascii="仿宋_GB2312" w:hAnsi="仿宋_GB2312" w:eastAsia="仿宋_GB2312" w:cs="仿宋_GB2312"/>
          <w:b w:val="0"/>
          <w:bCs w:val="0"/>
          <w:color w:val="auto"/>
          <w:kern w:val="2"/>
          <w:sz w:val="32"/>
          <w:szCs w:val="32"/>
          <w:lang w:val="en-US" w:eastAsia="zh-CN" w:bidi="ar"/>
        </w:rPr>
        <w:t>（一）居家护理：居家享受长护险待遇的长期失能人员，由定点长护服务机构根据失能参保人员失能及护理需求情况制定护理计划，并按照护理计划提供生活照料服务、医疗护理服务；</w:t>
      </w:r>
    </w:p>
    <w:p w14:paraId="4167B479">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32"/>
        </w:rPr>
      </w:pPr>
      <w:r>
        <w:rPr>
          <w:rFonts w:hint="eastAsia" w:ascii="仿宋_GB2312" w:hAnsi="仿宋_GB2312" w:eastAsia="仿宋_GB2312" w:cs="仿宋_GB2312"/>
          <w:b w:val="0"/>
          <w:bCs w:val="0"/>
          <w:color w:val="auto"/>
          <w:kern w:val="2"/>
          <w:sz w:val="32"/>
          <w:szCs w:val="32"/>
          <w:lang w:val="en-US" w:eastAsia="zh-CN" w:bidi="ar"/>
        </w:rPr>
        <w:t>（二）机构护理：入住定点长护服务机构享受长护险待遇的长期失能人员，由定点长护服务机构根据失能参保人员失能及护理需求情况制定护理计划，并按照护理计划提供全日制生活照料服务、医疗护理服务。</w:t>
      </w:r>
    </w:p>
    <w:p w14:paraId="4BC5681C">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32"/>
        </w:rPr>
      </w:pPr>
      <w:r>
        <w:rPr>
          <w:rFonts w:hint="eastAsia" w:ascii="黑体" w:hAnsi="宋体" w:eastAsia="黑体" w:cs="黑体"/>
          <w:b w:val="0"/>
          <w:bCs w:val="0"/>
          <w:color w:val="auto"/>
          <w:kern w:val="2"/>
          <w:sz w:val="32"/>
          <w:szCs w:val="32"/>
          <w:lang w:val="en-US" w:eastAsia="zh-CN" w:bidi="ar"/>
        </w:rPr>
        <w:t>第二十二条</w:t>
      </w:r>
      <w:r>
        <w:rPr>
          <w:rFonts w:hint="eastAsia" w:ascii="Times New Roman" w:hAnsi="Times New Roman" w:eastAsia="黑体" w:cs="Times New Roman"/>
          <w:b w:val="0"/>
          <w:bCs w:val="0"/>
          <w:color w:val="auto"/>
          <w:kern w:val="2"/>
          <w:sz w:val="32"/>
          <w:szCs w:val="32"/>
          <w:lang w:val="en-US" w:eastAsia="zh-CN" w:bidi="ar"/>
        </w:rPr>
        <w:t xml:space="preserve"> </w:t>
      </w:r>
      <w:r>
        <w:rPr>
          <w:rFonts w:hint="eastAsia" w:ascii="仿宋_GB2312" w:hAnsi="仿宋_GB2312" w:eastAsia="仿宋_GB2312" w:cs="仿宋_GB2312"/>
          <w:b w:val="0"/>
          <w:bCs w:val="0"/>
          <w:color w:val="auto"/>
          <w:kern w:val="2"/>
          <w:sz w:val="32"/>
          <w:szCs w:val="32"/>
          <w:lang w:val="en-US" w:eastAsia="zh-CN" w:bidi="ar"/>
        </w:rPr>
        <w:t>属于长护险基金支付范围内的护理费用不设起付标准，具体待遇支付标准按以下规定执行：</w:t>
      </w:r>
    </w:p>
    <w:p w14:paraId="2846CE2F">
      <w:pPr>
        <w:pStyle w:val="4"/>
        <w:keepNext w:val="0"/>
        <w:keepLines w:val="0"/>
        <w:pageBreakBefore w:val="0"/>
        <w:widowControl/>
        <w:numPr>
          <w:ilvl w:val="-1"/>
          <w:numId w:val="0"/>
        </w:numPr>
        <w:suppressLineNumbers w:val="0"/>
        <w:kinsoku/>
        <w:wordWrap w:val="0"/>
        <w:overflowPunct/>
        <w:topLinePunct w:val="0"/>
        <w:autoSpaceDN/>
        <w:bidi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（一）</w:t>
      </w:r>
      <w:r>
        <w:rPr>
          <w:rFonts w:hint="eastAsia" w:ascii="仿宋_GB2312" w:hAnsi="仿宋_GB2312" w:eastAsia="仿宋_GB2312" w:cs="仿宋_GB2312"/>
          <w:b w:val="0"/>
          <w:bCs w:val="0"/>
          <w:color w:val="auto"/>
          <w:kern w:val="0"/>
          <w:sz w:val="32"/>
          <w:szCs w:val="32"/>
          <w:highlight w:val="none"/>
          <w:lang w:val="en-US" w:eastAsia="zh-CN" w:bidi="ar"/>
        </w:rPr>
        <w:t>居家护理。</w:t>
      </w:r>
      <w:r>
        <w:rPr>
          <w:rFonts w:hint="eastAsia" w:ascii="仿宋_GB2312" w:hAnsi="仿宋_GB2312" w:eastAsia="仿宋_GB2312" w:cs="仿宋_GB2312"/>
          <w:b w:val="0"/>
          <w:bCs w:val="0"/>
          <w:color w:val="auto"/>
          <w:kern w:val="0"/>
          <w:sz w:val="32"/>
          <w:szCs w:val="32"/>
          <w:lang w:val="en-US" w:eastAsia="zh-CN" w:bidi="ar"/>
        </w:rPr>
        <w:t>失能参保人员选择居家护理服务的，由定点长护服务机构为失能保障对象提供上门护理服务。在符合规定的长护险服务项目标准内，长护险基金根据可享受的服务时长进行支付。</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按70元/小时纳入长护险基金支付范围，</w:t>
      </w:r>
      <w:r>
        <w:rPr>
          <w:rFonts w:hint="eastAsia" w:ascii="仿宋_GB2312" w:hAnsi="仿宋_GB2312" w:eastAsia="仿宋_GB2312" w:cs="仿宋_GB2312"/>
          <w:b w:val="0"/>
          <w:bCs w:val="0"/>
          <w:color w:val="auto"/>
          <w:kern w:val="0"/>
          <w:sz w:val="32"/>
          <w:szCs w:val="32"/>
          <w:lang w:val="en-US" w:eastAsia="zh-CN" w:bidi="ar"/>
        </w:rPr>
        <w:t>基金支付比例为75%。具体服务时长规定如下：</w:t>
      </w:r>
    </w:p>
    <w:p w14:paraId="6AE933A4">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每人每月不超过26小时，要求每周服务不少于3次，且每次服务时长不少于1小时。</w:t>
      </w:r>
    </w:p>
    <w:p w14:paraId="018628BC">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（二）机构护理。失能参保人员选择机构护理服务的，由定点长护服务机构提供护理服务。在符合长护险服务项目标准范围内的费用，长护险基金的支付标准如下：</w:t>
      </w:r>
    </w:p>
    <w:p w14:paraId="6E338EEB">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基金支付比例为70%，基金最高支付限额为每人每月1400元。</w:t>
      </w:r>
    </w:p>
    <w:p w14:paraId="5D94246A">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黑体" w:hAnsi="宋体" w:eastAsia="黑体" w:cs="黑体"/>
          <w:b w:val="0"/>
          <w:bCs w:val="0"/>
          <w:color w:val="auto"/>
          <w:kern w:val="0"/>
          <w:sz w:val="32"/>
          <w:szCs w:val="32"/>
          <w:lang w:val="en-US" w:eastAsia="zh-CN" w:bidi="ar"/>
        </w:rPr>
        <w:t>第二十三条</w:t>
      </w:r>
      <w:r>
        <w:rPr>
          <w:rFonts w:hint="eastAsia" w:ascii="Times New Roman" w:hAnsi="Times New Roman" w:eastAsia="黑体" w:cs="Times New Roman"/>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在提供居家护理服务的基础上，逐步探索将支持性辅助器具租赁服务费用纳入长护险待遇支付范围，进一步提高失能人员照护服务保障水平。</w:t>
      </w:r>
    </w:p>
    <w:p w14:paraId="4D5DEFFD">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黑体" w:hAnsi="宋体" w:eastAsia="黑体" w:cs="黑体"/>
          <w:b w:val="0"/>
          <w:bCs w:val="0"/>
          <w:color w:val="auto"/>
          <w:kern w:val="0"/>
          <w:sz w:val="32"/>
          <w:szCs w:val="32"/>
          <w:lang w:val="en-US" w:eastAsia="zh-CN" w:bidi="ar"/>
        </w:rPr>
        <w:t>第二十四条</w:t>
      </w:r>
      <w:r>
        <w:rPr>
          <w:rFonts w:hint="eastAsia" w:ascii="Times New Roman" w:hAnsi="Times New Roman" w:eastAsia="黑体" w:cs="Times New Roman"/>
          <w:b w:val="0"/>
          <w:bCs w:val="0"/>
          <w:color w:val="auto"/>
          <w:kern w:val="0"/>
          <w:sz w:val="32"/>
          <w:szCs w:val="32"/>
          <w:lang w:val="en-US" w:eastAsia="zh-CN" w:bidi="ar"/>
        </w:rPr>
        <w:t xml:space="preserve"> </w:t>
      </w:r>
      <w:r>
        <w:rPr>
          <w:rStyle w:val="7"/>
          <w:rFonts w:hint="eastAsia" w:ascii="仿宋_GB2312" w:hAnsi="仿宋_GB2312" w:eastAsia="仿宋_GB2312" w:cs="仿宋_GB2312"/>
          <w:b w:val="0"/>
          <w:bCs w:val="0"/>
          <w:color w:val="auto"/>
          <w:kern w:val="0"/>
          <w:sz w:val="32"/>
          <w:szCs w:val="32"/>
          <w:lang w:val="en-US" w:eastAsia="zh-CN" w:bidi="ar"/>
        </w:rPr>
        <w:t>下列情形发生的长期护理服务费用，不纳入基金支付范围：</w:t>
      </w:r>
    </w:p>
    <w:p w14:paraId="0E9CBBB9">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Style w:val="7"/>
          <w:rFonts w:hint="eastAsia" w:ascii="仿宋_GB2312" w:hAnsi="仿宋_GB2312" w:eastAsia="仿宋_GB2312" w:cs="仿宋_GB2312"/>
          <w:b w:val="0"/>
          <w:bCs w:val="0"/>
          <w:color w:val="auto"/>
          <w:kern w:val="0"/>
          <w:sz w:val="32"/>
          <w:szCs w:val="32"/>
          <w:lang w:val="en-US" w:eastAsia="zh-CN" w:bidi="ar"/>
        </w:rPr>
        <w:t>（一）应当由基本医疗保险、工伤保险基金等其他社会保险基金中支付的；</w:t>
      </w:r>
    </w:p>
    <w:p w14:paraId="72829AD6">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Style w:val="7"/>
          <w:rFonts w:hint="eastAsia" w:ascii="仿宋_GB2312" w:hAnsi="仿宋_GB2312" w:eastAsia="仿宋_GB2312" w:cs="仿宋_GB2312"/>
          <w:b w:val="0"/>
          <w:bCs w:val="0"/>
          <w:color w:val="auto"/>
          <w:kern w:val="0"/>
          <w:sz w:val="32"/>
          <w:szCs w:val="32"/>
          <w:lang w:val="en-US" w:eastAsia="zh-CN" w:bidi="ar"/>
        </w:rPr>
        <w:t>（二）应当由第三人负担的；</w:t>
      </w:r>
    </w:p>
    <w:p w14:paraId="1B5F5B33">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Style w:val="7"/>
          <w:rFonts w:hint="eastAsia" w:ascii="仿宋_GB2312" w:hAnsi="仿宋_GB2312" w:eastAsia="仿宋_GB2312" w:cs="仿宋_GB2312"/>
          <w:b w:val="0"/>
          <w:bCs w:val="0"/>
          <w:color w:val="auto"/>
          <w:kern w:val="0"/>
          <w:sz w:val="32"/>
          <w:szCs w:val="32"/>
          <w:lang w:val="en-US" w:eastAsia="zh-CN" w:bidi="ar"/>
        </w:rPr>
        <w:t>（三）应当由公共卫生负担的；</w:t>
      </w:r>
    </w:p>
    <w:p w14:paraId="418CF6CE">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Style w:val="7"/>
          <w:rFonts w:hint="eastAsia" w:ascii="仿宋_GB2312" w:hAnsi="仿宋_GB2312" w:eastAsia="仿宋_GB2312" w:cs="仿宋_GB2312"/>
          <w:b w:val="0"/>
          <w:bCs w:val="0"/>
          <w:color w:val="auto"/>
          <w:kern w:val="0"/>
          <w:sz w:val="32"/>
          <w:szCs w:val="32"/>
          <w:lang w:val="en-US" w:eastAsia="zh-CN" w:bidi="ar"/>
        </w:rPr>
        <w:t>（四）非协议管理定点机构发生的；</w:t>
      </w:r>
    </w:p>
    <w:p w14:paraId="0E197626">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Style w:val="7"/>
          <w:rFonts w:hint="eastAsia" w:ascii="仿宋_GB2312" w:hAnsi="仿宋_GB2312" w:eastAsia="仿宋_GB2312" w:cs="仿宋_GB2312"/>
          <w:b w:val="0"/>
          <w:bCs w:val="0"/>
          <w:color w:val="auto"/>
          <w:kern w:val="0"/>
          <w:sz w:val="32"/>
          <w:szCs w:val="32"/>
          <w:lang w:val="en-US" w:eastAsia="zh-CN" w:bidi="ar"/>
        </w:rPr>
        <w:t>（五）超出长护险规定的支付范围及标准的；</w:t>
      </w:r>
    </w:p>
    <w:p w14:paraId="21E4C718">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32"/>
        </w:rPr>
      </w:pPr>
      <w:r>
        <w:rPr>
          <w:rStyle w:val="7"/>
          <w:rFonts w:hint="eastAsia" w:ascii="仿宋_GB2312" w:hAnsi="仿宋_GB2312" w:eastAsia="仿宋_GB2312" w:cs="仿宋_GB2312"/>
          <w:b w:val="0"/>
          <w:bCs w:val="0"/>
          <w:color w:val="auto"/>
          <w:kern w:val="0"/>
          <w:sz w:val="32"/>
          <w:szCs w:val="32"/>
          <w:lang w:val="en-US" w:eastAsia="zh-CN" w:bidi="ar"/>
        </w:rPr>
        <w:t>（六）其他法律、法规规定不予支付的。</w:t>
      </w:r>
    </w:p>
    <w:p w14:paraId="7B533528">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color w:val="auto"/>
          <w:kern w:val="0"/>
          <w:sz w:val="32"/>
          <w:szCs w:val="32"/>
        </w:rPr>
      </w:pPr>
      <w:r>
        <w:rPr>
          <w:rFonts w:hint="eastAsia" w:ascii="黑体" w:hAnsi="宋体" w:eastAsia="黑体" w:cs="黑体"/>
          <w:b w:val="0"/>
          <w:bCs w:val="0"/>
          <w:color w:val="auto"/>
          <w:kern w:val="0"/>
          <w:sz w:val="32"/>
          <w:szCs w:val="32"/>
          <w:lang w:val="en-US" w:eastAsia="zh-CN" w:bidi="ar"/>
        </w:rPr>
        <w:t>第二十</w:t>
      </w:r>
      <w:r>
        <w:rPr>
          <w:rFonts w:hint="eastAsia" w:ascii="黑体" w:eastAsia="黑体" w:cs="黑体"/>
          <w:b w:val="0"/>
          <w:bCs w:val="0"/>
          <w:color w:val="auto"/>
          <w:kern w:val="0"/>
          <w:sz w:val="32"/>
          <w:szCs w:val="32"/>
          <w:lang w:val="en-US" w:eastAsia="zh-CN" w:bidi="ar"/>
        </w:rPr>
        <w:t>五</w:t>
      </w:r>
      <w:r>
        <w:rPr>
          <w:rFonts w:hint="eastAsia" w:ascii="黑体" w:hAnsi="宋体" w:eastAsia="黑体" w:cs="黑体"/>
          <w:b w:val="0"/>
          <w:bCs w:val="0"/>
          <w:color w:val="auto"/>
          <w:kern w:val="0"/>
          <w:sz w:val="32"/>
          <w:szCs w:val="32"/>
          <w:lang w:val="en-US" w:eastAsia="zh-CN" w:bidi="ar"/>
        </w:rPr>
        <w:t>条</w:t>
      </w:r>
      <w:r>
        <w:rPr>
          <w:rFonts w:hint="eastAsia" w:ascii="Times New Roman" w:hAnsi="Times New Roman" w:eastAsia="黑体" w:cs="Times New Roman"/>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失能参保人员在本市定点长护服务机构发生的属于长护险基金支付范围的费用，由定点长护服务机构记账处理，长护险基金将按照规定进行支付，属个人支付的部分由定点长护服务机构向参保人收取。</w:t>
      </w:r>
    </w:p>
    <w:p w14:paraId="033760F4">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color w:val="auto"/>
          <w:kern w:val="0"/>
          <w:sz w:val="32"/>
          <w:szCs w:val="32"/>
        </w:rPr>
      </w:pPr>
      <w:r>
        <w:rPr>
          <w:rFonts w:hint="eastAsia" w:ascii="黑体" w:hAnsi="宋体" w:eastAsia="黑体" w:cs="黑体"/>
          <w:b w:val="0"/>
          <w:bCs w:val="0"/>
          <w:color w:val="auto"/>
          <w:kern w:val="0"/>
          <w:sz w:val="32"/>
          <w:szCs w:val="32"/>
          <w:lang w:val="en-US" w:eastAsia="zh-CN" w:bidi="ar"/>
        </w:rPr>
        <w:t>第二十</w:t>
      </w:r>
      <w:r>
        <w:rPr>
          <w:rFonts w:hint="eastAsia" w:ascii="黑体" w:eastAsia="黑体" w:cs="黑体"/>
          <w:b w:val="0"/>
          <w:bCs w:val="0"/>
          <w:color w:val="auto"/>
          <w:kern w:val="0"/>
          <w:sz w:val="32"/>
          <w:szCs w:val="32"/>
          <w:lang w:val="en-US" w:eastAsia="zh-CN" w:bidi="ar"/>
        </w:rPr>
        <w:t>六</w:t>
      </w:r>
      <w:r>
        <w:rPr>
          <w:rFonts w:hint="eastAsia" w:ascii="黑体" w:hAnsi="宋体" w:eastAsia="黑体" w:cs="黑体"/>
          <w:b w:val="0"/>
          <w:bCs w:val="0"/>
          <w:color w:val="auto"/>
          <w:kern w:val="0"/>
          <w:sz w:val="32"/>
          <w:szCs w:val="32"/>
          <w:lang w:val="en-US" w:eastAsia="zh-CN" w:bidi="ar"/>
        </w:rPr>
        <w:t>条</w:t>
      </w:r>
      <w:r>
        <w:rPr>
          <w:rFonts w:hint="eastAsia" w:ascii="Times New Roman" w:hAnsi="Times New Roman" w:eastAsia="黑体" w:cs="Times New Roman"/>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符合享受长护险待遇条件的参保人需要变更服务方式的，由定点长护服务机构为其向经办机构办理服务方式变更备案，并自办理变更备案手续次月起按新的服务方式结算。</w:t>
      </w:r>
    </w:p>
    <w:p w14:paraId="7999E82B">
      <w:pPr>
        <w:keepNext w:val="0"/>
        <w:keepLines w:val="0"/>
        <w:pageBreakBefore w:val="0"/>
        <w:widowControl w:val="0"/>
        <w:suppressLineNumbers w:val="0"/>
        <w:shd w:val="clear" w:fill="FFFFFF"/>
        <w:kinsoku/>
        <w:overflowPunct/>
        <w:topLinePunct w:val="0"/>
        <w:autoSpaceDN/>
        <w:bidi w:val="0"/>
        <w:snapToGrid/>
        <w:spacing w:before="0" w:beforeAutospacing="0" w:after="0" w:afterAutospacing="0" w:line="560" w:lineRule="exact"/>
        <w:ind w:left="0" w:right="0" w:firstLine="640" w:firstLineChars="200"/>
        <w:jc w:val="both"/>
        <w:textAlignment w:val="auto"/>
        <w:rPr>
          <w:ins w:id="4" w:author="lee" w:date="2025-06-25T10:35:17Z"/>
          <w:rFonts w:hint="eastAsia" w:ascii="仿宋_GB2312" w:hAnsi="仿宋_GB2312" w:eastAsia="仿宋_GB2312" w:cs="仿宋_GB2312"/>
          <w:b w:val="0"/>
          <w:bCs w:val="0"/>
          <w:color w:val="auto"/>
          <w:kern w:val="0"/>
          <w:sz w:val="32"/>
          <w:szCs w:val="32"/>
          <w:shd w:val="clear" w:fill="FFFFFF"/>
          <w:lang w:val="en-US" w:eastAsia="zh-CN" w:bidi="ar"/>
        </w:rPr>
      </w:pPr>
      <w:r>
        <w:rPr>
          <w:rFonts w:hint="eastAsia" w:ascii="黑体" w:hAnsi="宋体" w:eastAsia="黑体" w:cs="黑体"/>
          <w:b w:val="0"/>
          <w:bCs w:val="0"/>
          <w:color w:val="auto"/>
          <w:kern w:val="0"/>
          <w:sz w:val="32"/>
          <w:szCs w:val="32"/>
          <w:shd w:val="clear" w:fill="FFFFFF"/>
          <w:lang w:val="en-US" w:eastAsia="zh-CN" w:bidi="ar"/>
        </w:rPr>
        <w:t>第二十七条</w:t>
      </w:r>
      <w:r>
        <w:rPr>
          <w:rFonts w:hint="eastAsia" w:ascii="Times New Roman" w:hAnsi="Times New Roman" w:eastAsia="黑体" w:cs="Times New Roman"/>
          <w:b w:val="0"/>
          <w:bCs w:val="0"/>
          <w:color w:val="auto"/>
          <w:kern w:val="0"/>
          <w:sz w:val="32"/>
          <w:szCs w:val="32"/>
          <w:shd w:val="clear" w:fill="FFFFFF"/>
          <w:lang w:val="en-US" w:eastAsia="zh-CN" w:bidi="ar"/>
        </w:rPr>
        <w:t xml:space="preserve"> </w:t>
      </w:r>
      <w:r>
        <w:rPr>
          <w:rFonts w:hint="eastAsia" w:ascii="仿宋_GB2312" w:hAnsi="仿宋_GB2312" w:eastAsia="仿宋_GB2312" w:cs="仿宋_GB2312"/>
          <w:b w:val="0"/>
          <w:bCs w:val="0"/>
          <w:color w:val="auto"/>
          <w:kern w:val="0"/>
          <w:sz w:val="32"/>
          <w:szCs w:val="32"/>
          <w:shd w:val="clear" w:fill="FFFFFF"/>
          <w:lang w:val="en-US" w:eastAsia="zh-CN" w:bidi="ar"/>
        </w:rPr>
        <w:t>失能参保人员选择机构护理实际服务天数不足一个月的，月度最高支付限额按实际服务天数折算。选择居家护理的，按照实际服务时长支付。实际服务费用低于支付限额的，按实际费用标准支付。超出长护险支付范围和支付限额的护理费用，由参保人自行承担。</w:t>
      </w:r>
    </w:p>
    <w:p w14:paraId="6F39339A">
      <w:pPr>
        <w:widowControl w:val="0"/>
        <w:shd w:val="clear" w:fill="FFFFFF"/>
        <w:ind w:firstLine="640" w:firstLineChars="200"/>
        <w:rPr>
          <w:rFonts w:hint="eastAsia" w:ascii="仿宋" w:hAnsi="仿宋" w:eastAsia="仿宋" w:cs="仿宋"/>
          <w:b w:val="0"/>
          <w:bCs w:val="0"/>
          <w:color w:val="auto"/>
          <w:kern w:val="0"/>
          <w:sz w:val="32"/>
          <w:szCs w:val="32"/>
        </w:rPr>
      </w:pPr>
      <w:r>
        <w:rPr>
          <w:rFonts w:hint="eastAsia" w:ascii="黑体" w:hAnsi="宋体" w:eastAsia="黑体" w:cs="黑体"/>
          <w:b w:val="0"/>
          <w:bCs w:val="0"/>
          <w:color w:val="auto"/>
          <w:kern w:val="0"/>
          <w:sz w:val="32"/>
          <w:szCs w:val="32"/>
          <w:lang w:val="en-US" w:eastAsia="zh-CN" w:bidi="ar"/>
        </w:rPr>
        <w:t>第</w:t>
      </w:r>
      <w:r>
        <w:rPr>
          <w:rFonts w:hint="eastAsia" w:ascii="黑体" w:eastAsia="黑体" w:cs="黑体"/>
          <w:b w:val="0"/>
          <w:bCs w:val="0"/>
          <w:color w:val="auto"/>
          <w:kern w:val="0"/>
          <w:sz w:val="32"/>
          <w:szCs w:val="32"/>
          <w:lang w:val="en-US" w:eastAsia="zh-CN" w:bidi="ar"/>
        </w:rPr>
        <w:t>二十八</w:t>
      </w:r>
      <w:r>
        <w:rPr>
          <w:rFonts w:hint="eastAsia" w:ascii="黑体" w:hAnsi="宋体" w:eastAsia="黑体" w:cs="黑体"/>
          <w:b w:val="0"/>
          <w:bCs w:val="0"/>
          <w:color w:val="auto"/>
          <w:kern w:val="0"/>
          <w:sz w:val="32"/>
          <w:szCs w:val="32"/>
          <w:lang w:val="en-US" w:eastAsia="zh-CN" w:bidi="ar"/>
        </w:rPr>
        <w:t>条</w:t>
      </w:r>
      <w:r>
        <w:rPr>
          <w:rFonts w:hint="eastAsia" w:ascii="Times New Roman" w:hAnsi="Times New Roman" w:eastAsia="黑体" w:cs="Times New Roman"/>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失能参保人员在享受基本医疗保险住院待遇期间，不享受长护险待遇。失能参保人员治疗出院后，若其长护险评定结论仍在有效期内，可继续享受长护险待遇；若有效期届满，需按规定重新申请评定。</w:t>
      </w:r>
    </w:p>
    <w:p w14:paraId="7968954C">
      <w:pPr>
        <w:keepNext w:val="0"/>
        <w:keepLines w:val="0"/>
        <w:pageBreakBefore w:val="0"/>
        <w:widowControl w:val="0"/>
        <w:suppressLineNumbers w:val="0"/>
        <w:shd w:val="clear" w:fill="FFFFFF"/>
        <w:kinsoku/>
        <w:overflowPunct/>
        <w:topLinePunct w:val="0"/>
        <w:autoSpaceDN/>
        <w:bidi w:val="0"/>
        <w:snapToGrid/>
        <w:spacing w:before="0" w:beforeAutospacing="0" w:after="0" w:afterAutospacing="0" w:line="560" w:lineRule="exact"/>
        <w:ind w:left="0" w:right="0" w:firstLine="640" w:firstLineChars="200"/>
        <w:jc w:val="both"/>
        <w:textAlignment w:val="auto"/>
        <w:outlineLvl w:val="1"/>
        <w:rPr>
          <w:rFonts w:hint="eastAsia" w:ascii="仿宋_GB2312" w:hAnsi="仿宋_GB2312" w:eastAsia="仿宋_GB2312" w:cs="仿宋_GB2312"/>
          <w:b w:val="0"/>
          <w:bCs w:val="0"/>
          <w:color w:val="auto"/>
          <w:kern w:val="0"/>
          <w:sz w:val="32"/>
          <w:szCs w:val="32"/>
          <w:shd w:val="clear" w:fill="FFFFFF"/>
        </w:rPr>
      </w:pPr>
      <w:r>
        <w:rPr>
          <w:rFonts w:hint="eastAsia" w:ascii="黑体" w:hAnsi="宋体" w:eastAsia="黑体" w:cs="黑体"/>
          <w:b w:val="0"/>
          <w:bCs w:val="0"/>
          <w:color w:val="auto"/>
          <w:kern w:val="0"/>
          <w:sz w:val="32"/>
          <w:szCs w:val="32"/>
          <w:shd w:val="clear" w:fill="FFFFFF"/>
          <w:lang w:val="en-US" w:eastAsia="zh-CN" w:bidi="ar"/>
        </w:rPr>
        <w:t>第二十九条</w:t>
      </w:r>
      <w:r>
        <w:rPr>
          <w:rFonts w:hint="eastAsia" w:ascii="Times New Roman" w:hAnsi="Times New Roman" w:eastAsia="黑体" w:cs="Times New Roman"/>
          <w:b w:val="0"/>
          <w:bCs w:val="0"/>
          <w:color w:val="auto"/>
          <w:kern w:val="0"/>
          <w:sz w:val="32"/>
          <w:szCs w:val="32"/>
          <w:shd w:val="clear" w:fill="FFFFFF"/>
          <w:lang w:val="en-US" w:eastAsia="zh-CN" w:bidi="ar"/>
        </w:rPr>
        <w:t xml:space="preserve"> </w:t>
      </w:r>
      <w:r>
        <w:rPr>
          <w:rFonts w:hint="eastAsia" w:ascii="仿宋_GB2312" w:hAnsi="仿宋_GB2312" w:eastAsia="仿宋_GB2312" w:cs="仿宋_GB2312"/>
          <w:b w:val="0"/>
          <w:bCs w:val="0"/>
          <w:color w:val="auto"/>
          <w:kern w:val="0"/>
          <w:sz w:val="32"/>
          <w:szCs w:val="32"/>
          <w:shd w:val="clear" w:fill="FFFFFF"/>
          <w:lang w:val="en-US" w:eastAsia="zh-CN" w:bidi="ar"/>
        </w:rPr>
        <w:t>参保人有下列情形之一的，停止享受长护险待遇</w:t>
      </w:r>
      <w:ins w:id="5" w:author="lee" w:date="2025-06-25T17:08:57Z">
        <w:r>
          <w:rPr>
            <w:rFonts w:hint="eastAsia" w:ascii="仿宋_GB2312" w:hAnsi="仿宋_GB2312" w:eastAsia="仿宋_GB2312" w:cs="仿宋_GB2312"/>
            <w:b w:val="0"/>
            <w:bCs w:val="0"/>
            <w:color w:val="auto"/>
            <w:kern w:val="0"/>
            <w:sz w:val="32"/>
            <w:szCs w:val="32"/>
            <w:shd w:val="clear" w:fill="FFFFFF"/>
            <w:lang w:val="en-US" w:eastAsia="zh-CN" w:bidi="ar"/>
          </w:rPr>
          <w:t>：</w:t>
        </w:r>
      </w:ins>
      <w:bookmarkStart w:id="0" w:name="_GoBack"/>
      <w:bookmarkEnd w:id="0"/>
    </w:p>
    <w:p w14:paraId="6C566B68">
      <w:pPr>
        <w:keepNext w:val="0"/>
        <w:keepLines w:val="0"/>
        <w:pageBreakBefore w:val="0"/>
        <w:widowControl w:val="0"/>
        <w:suppressLineNumbers w:val="0"/>
        <w:shd w:val="clear" w:fill="FFFFFF"/>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shd w:val="clear" w:fill="FFFFFF"/>
        </w:rPr>
      </w:pPr>
      <w:r>
        <w:rPr>
          <w:rFonts w:hint="eastAsia" w:ascii="仿宋_GB2312" w:hAnsi="仿宋_GB2312" w:eastAsia="仿宋_GB2312" w:cs="仿宋_GB2312"/>
          <w:b w:val="0"/>
          <w:bCs w:val="0"/>
          <w:color w:val="auto"/>
          <w:kern w:val="0"/>
          <w:sz w:val="32"/>
          <w:szCs w:val="32"/>
          <w:shd w:val="clear" w:fill="FFFFFF"/>
          <w:lang w:val="en-US" w:eastAsia="zh-CN" w:bidi="ar"/>
        </w:rPr>
        <w:t>（一）长护险待遇享受人员死亡的；</w:t>
      </w:r>
    </w:p>
    <w:p w14:paraId="3042289C">
      <w:pPr>
        <w:keepNext w:val="0"/>
        <w:keepLines w:val="0"/>
        <w:pageBreakBefore w:val="0"/>
        <w:widowControl w:val="0"/>
        <w:suppressLineNumbers w:val="0"/>
        <w:shd w:val="clear" w:fill="FFFFFF"/>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shd w:val="clear" w:fill="FFFFFF"/>
        </w:rPr>
      </w:pPr>
      <w:r>
        <w:rPr>
          <w:rFonts w:hint="eastAsia" w:ascii="仿宋_GB2312" w:hAnsi="仿宋_GB2312" w:eastAsia="仿宋_GB2312" w:cs="仿宋_GB2312"/>
          <w:b w:val="0"/>
          <w:bCs w:val="0"/>
          <w:color w:val="auto"/>
          <w:kern w:val="0"/>
          <w:sz w:val="32"/>
          <w:szCs w:val="32"/>
          <w:shd w:val="clear" w:fill="FFFFFF"/>
          <w:lang w:val="en-US" w:eastAsia="zh-CN" w:bidi="ar"/>
        </w:rPr>
        <w:t>（二）基本医疗保险待遇等待期内，长护险待遇同步停止；</w:t>
      </w:r>
    </w:p>
    <w:p w14:paraId="6BF9E4B2">
      <w:pPr>
        <w:keepNext w:val="0"/>
        <w:keepLines w:val="0"/>
        <w:pageBreakBefore w:val="0"/>
        <w:widowControl w:val="0"/>
        <w:suppressLineNumbers w:val="0"/>
        <w:shd w:val="clear" w:fill="FFFFFF"/>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黑体" w:hAnsi="宋体" w:eastAsia="仿宋_GB2312" w:cs="黑体"/>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shd w:val="clear" w:fill="FFFFFF"/>
          <w:lang w:val="en-US" w:eastAsia="zh-CN" w:bidi="ar"/>
        </w:rPr>
        <w:t>（三）</w:t>
      </w:r>
      <w:r>
        <w:rPr>
          <w:rFonts w:hint="eastAsia" w:ascii="仿宋_GB2312" w:hAnsi="仿宋_GB2312" w:eastAsia="仿宋_GB2312" w:cs="仿宋_GB2312"/>
          <w:b w:val="0"/>
          <w:bCs w:val="0"/>
          <w:color w:val="auto"/>
          <w:kern w:val="0"/>
          <w:sz w:val="32"/>
          <w:szCs w:val="32"/>
          <w:lang w:val="en-US" w:eastAsia="zh-CN" w:bidi="ar"/>
        </w:rPr>
        <w:t>在享受长护险待遇期间，经重新评估，认定不符合重度失能条件的，自重新作出评估结论次日起停止享受长护险待遇</w:t>
      </w:r>
      <w:ins w:id="6" w:author="lee" w:date="2025-06-25T10:36:31Z">
        <w:r>
          <w:rPr>
            <w:rFonts w:hint="eastAsia" w:ascii="仿宋_GB2312" w:hAnsi="仿宋_GB2312" w:eastAsia="仿宋_GB2312" w:cs="仿宋_GB2312"/>
            <w:b w:val="0"/>
            <w:bCs w:val="0"/>
            <w:color w:val="auto"/>
            <w:kern w:val="0"/>
            <w:sz w:val="32"/>
            <w:szCs w:val="32"/>
            <w:lang w:val="en-US" w:eastAsia="zh-CN" w:bidi="ar"/>
          </w:rPr>
          <w:t>。</w:t>
        </w:r>
      </w:ins>
    </w:p>
    <w:p w14:paraId="7327074B">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黑体" w:hAnsi="宋体" w:eastAsia="黑体" w:cs="黑体"/>
          <w:b w:val="0"/>
          <w:bCs w:val="0"/>
          <w:color w:val="auto"/>
          <w:kern w:val="0"/>
          <w:sz w:val="32"/>
          <w:szCs w:val="32"/>
          <w:highlight w:val="none"/>
          <w:lang w:val="en-US" w:eastAsia="zh-CN" w:bidi="ar"/>
        </w:rPr>
        <w:t xml:space="preserve">第三十条 </w:t>
      </w:r>
      <w:r>
        <w:rPr>
          <w:rFonts w:hint="eastAsia" w:ascii="仿宋_GB2312" w:hAnsi="仿宋_GB2312" w:eastAsia="仿宋_GB2312" w:cs="仿宋_GB2312"/>
          <w:b w:val="0"/>
          <w:bCs w:val="0"/>
          <w:color w:val="auto"/>
          <w:kern w:val="0"/>
          <w:sz w:val="32"/>
          <w:szCs w:val="32"/>
          <w:highlight w:val="none"/>
          <w:lang w:val="en-US" w:eastAsia="zh-CN" w:bidi="ar"/>
        </w:rPr>
        <w:t>若护理人员受客观条件限制无法提供上门护理服务，经参保人或其监护人申请，可由家属承担照护工作。家属需参加由医疗保障部门或其委托机构组织的专业技能培训，完成规定课程学习并通过考核，取得相应资格证书后，方可提供照护服务。定点长护服务机构应依据劳动关系相关规定，与取得资格证书的家属签订劳动合同，明确双方权利义务。申请亲情照护服务的需按规定及时向医保经办机构备案。</w:t>
      </w:r>
    </w:p>
    <w:p w14:paraId="7037124A">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2880" w:firstLineChars="900"/>
        <w:jc w:val="both"/>
        <w:textAlignment w:val="auto"/>
        <w:outlineLvl w:val="0"/>
        <w:rPr>
          <w:rFonts w:hint="eastAsia" w:ascii="黑体" w:hAnsi="宋体" w:eastAsia="黑体" w:cs="黑体"/>
          <w:b w:val="0"/>
          <w:bCs w:val="0"/>
          <w:color w:val="auto"/>
          <w:kern w:val="0"/>
          <w:sz w:val="32"/>
          <w:szCs w:val="32"/>
          <w:shd w:val="clear" w:fill="FFFFFF"/>
          <w:lang w:val="en-US" w:eastAsia="zh-CN" w:bidi="ar"/>
        </w:rPr>
      </w:pPr>
    </w:p>
    <w:p w14:paraId="66C460E2">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2880" w:firstLineChars="900"/>
        <w:jc w:val="both"/>
        <w:textAlignment w:val="auto"/>
        <w:outlineLvl w:val="0"/>
        <w:rPr>
          <w:rFonts w:hint="default" w:ascii="Times New Roman" w:hAnsi="Times New Roman" w:eastAsia="黑体" w:cs="Times New Roman"/>
          <w:b w:val="0"/>
          <w:bCs w:val="0"/>
          <w:color w:val="auto"/>
          <w:kern w:val="0"/>
          <w:sz w:val="32"/>
          <w:szCs w:val="32"/>
        </w:rPr>
      </w:pPr>
      <w:r>
        <w:rPr>
          <w:rFonts w:hint="eastAsia" w:ascii="黑体" w:hAnsi="宋体" w:eastAsia="黑体" w:cs="黑体"/>
          <w:b w:val="0"/>
          <w:bCs w:val="0"/>
          <w:color w:val="auto"/>
          <w:kern w:val="0"/>
          <w:sz w:val="32"/>
          <w:szCs w:val="32"/>
          <w:shd w:val="clear" w:fill="FFFFFF"/>
          <w:lang w:val="en-US" w:eastAsia="zh-CN" w:bidi="ar"/>
        </w:rPr>
        <w:t>第五章</w:t>
      </w:r>
      <w:r>
        <w:rPr>
          <w:rFonts w:hint="default" w:ascii="Times New Roman" w:hAnsi="Times New Roman" w:eastAsia="黑体" w:cs="Times New Roman"/>
          <w:b w:val="0"/>
          <w:bCs w:val="0"/>
          <w:color w:val="auto"/>
          <w:kern w:val="0"/>
          <w:sz w:val="32"/>
          <w:szCs w:val="32"/>
          <w:shd w:val="clear" w:fill="FFFFFF"/>
          <w:lang w:val="en-US" w:eastAsia="zh-CN" w:bidi="ar"/>
        </w:rPr>
        <w:t xml:space="preserve">  </w:t>
      </w:r>
      <w:r>
        <w:rPr>
          <w:rFonts w:hint="eastAsia" w:ascii="黑体" w:hAnsi="宋体" w:eastAsia="黑体" w:cs="黑体"/>
          <w:b w:val="0"/>
          <w:bCs w:val="0"/>
          <w:color w:val="auto"/>
          <w:kern w:val="0"/>
          <w:sz w:val="32"/>
          <w:szCs w:val="32"/>
          <w:lang w:val="en-US" w:eastAsia="zh-CN" w:bidi="ar"/>
        </w:rPr>
        <w:t>基金管理</w:t>
      </w:r>
    </w:p>
    <w:p w14:paraId="27FCA4D8">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黑体" w:hAnsi="宋体" w:eastAsia="黑体" w:cs="黑体"/>
          <w:b w:val="0"/>
          <w:bCs w:val="0"/>
          <w:color w:val="auto"/>
          <w:kern w:val="0"/>
          <w:sz w:val="32"/>
          <w:szCs w:val="32"/>
          <w:lang w:val="en-US" w:eastAsia="zh-CN" w:bidi="ar"/>
        </w:rPr>
      </w:pPr>
    </w:p>
    <w:p w14:paraId="742BA07C">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黑体" w:hAnsi="宋体" w:eastAsia="黑体" w:cs="黑体"/>
          <w:b w:val="0"/>
          <w:bCs w:val="0"/>
          <w:color w:val="auto"/>
          <w:kern w:val="0"/>
          <w:sz w:val="32"/>
          <w:szCs w:val="32"/>
          <w:lang w:val="en-US" w:eastAsia="zh-CN" w:bidi="ar"/>
        </w:rPr>
        <w:t>第三十</w:t>
      </w:r>
      <w:r>
        <w:rPr>
          <w:rFonts w:hint="eastAsia" w:ascii="黑体" w:eastAsia="黑体" w:cs="黑体"/>
          <w:b w:val="0"/>
          <w:bCs w:val="0"/>
          <w:color w:val="auto"/>
          <w:kern w:val="0"/>
          <w:sz w:val="32"/>
          <w:szCs w:val="32"/>
          <w:lang w:val="en-US" w:eastAsia="zh-CN" w:bidi="ar"/>
        </w:rPr>
        <w:t>一</w:t>
      </w:r>
      <w:r>
        <w:rPr>
          <w:rFonts w:hint="eastAsia" w:ascii="黑体" w:hAnsi="宋体" w:eastAsia="黑体" w:cs="黑体"/>
          <w:b w:val="0"/>
          <w:bCs w:val="0"/>
          <w:color w:val="auto"/>
          <w:kern w:val="0"/>
          <w:sz w:val="32"/>
          <w:szCs w:val="32"/>
          <w:lang w:val="en-US" w:eastAsia="zh-CN" w:bidi="ar"/>
        </w:rPr>
        <w:t>条</w:t>
      </w:r>
      <w:r>
        <w:rPr>
          <w:rFonts w:hint="eastAsia" w:ascii="Times New Roman" w:hAnsi="Times New Roman" w:eastAsia="黑体" w:cs="Times New Roman"/>
          <w:b w:val="0"/>
          <w:bCs w:val="0"/>
          <w:color w:val="auto"/>
          <w:kern w:val="0"/>
          <w:sz w:val="32"/>
          <w:szCs w:val="32"/>
          <w:lang w:val="en-US" w:eastAsia="zh-CN" w:bidi="ar"/>
        </w:rPr>
        <w:t xml:space="preserve"> </w:t>
      </w:r>
      <w:r>
        <w:rPr>
          <w:rStyle w:val="7"/>
          <w:rFonts w:hint="eastAsia" w:ascii="仿宋_GB2312" w:hAnsi="仿宋_GB2312" w:eastAsia="仿宋_GB2312" w:cs="仿宋_GB2312"/>
          <w:b w:val="0"/>
          <w:bCs w:val="0"/>
          <w:color w:val="auto"/>
          <w:sz w:val="32"/>
          <w:szCs w:val="32"/>
          <w:lang w:val="en-US" w:eastAsia="zh-CN" w:bidi="ar"/>
        </w:rPr>
        <w:t>长护险基金参照国家和本市社会保障基金管理的有关规定执行，实行市级统筹，纳入社会保障基金财政专户，实行收支两条线管理，单独建账，独立核算，专款专用。长护险基金收支管理实行“以收定支、收支平衡、略有结余”的原则。长护险基金当年出现缺口不足支付时，不足部分先从长护险基金累计结余中支出。累计结余不足时，按照现行社会保险基金制度关于解决基金缺口的有关规定执行。</w:t>
      </w:r>
    </w:p>
    <w:p w14:paraId="35F5DC77">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outlineLvl w:val="1"/>
        <w:rPr>
          <w:rFonts w:hint="eastAsia" w:ascii="仿宋_GB2312" w:hAnsi="仿宋_GB2312" w:eastAsia="仿宋_GB2312" w:cs="仿宋_GB2312"/>
          <w:b w:val="0"/>
          <w:bCs w:val="0"/>
          <w:color w:val="auto"/>
          <w:sz w:val="32"/>
          <w:szCs w:val="32"/>
        </w:rPr>
      </w:pPr>
      <w:r>
        <w:rPr>
          <w:rFonts w:hint="eastAsia" w:ascii="黑体" w:hAnsi="宋体" w:eastAsia="黑体" w:cs="黑体"/>
          <w:b w:val="0"/>
          <w:bCs w:val="0"/>
          <w:color w:val="auto"/>
          <w:kern w:val="0"/>
          <w:sz w:val="32"/>
          <w:szCs w:val="32"/>
          <w:lang w:val="en-US" w:eastAsia="zh-CN" w:bidi="ar"/>
        </w:rPr>
        <w:t>第三十</w:t>
      </w:r>
      <w:r>
        <w:rPr>
          <w:rFonts w:hint="eastAsia" w:ascii="黑体" w:eastAsia="黑体" w:cs="黑体"/>
          <w:b w:val="0"/>
          <w:bCs w:val="0"/>
          <w:color w:val="auto"/>
          <w:kern w:val="0"/>
          <w:sz w:val="32"/>
          <w:szCs w:val="32"/>
          <w:lang w:val="en-US" w:eastAsia="zh-CN" w:bidi="ar"/>
        </w:rPr>
        <w:t>二</w:t>
      </w:r>
      <w:r>
        <w:rPr>
          <w:rFonts w:hint="eastAsia" w:ascii="黑体" w:hAnsi="宋体" w:eastAsia="黑体" w:cs="黑体"/>
          <w:b w:val="0"/>
          <w:bCs w:val="0"/>
          <w:color w:val="auto"/>
          <w:kern w:val="0"/>
          <w:sz w:val="32"/>
          <w:szCs w:val="32"/>
          <w:lang w:val="en-US" w:eastAsia="zh-CN" w:bidi="ar"/>
        </w:rPr>
        <w:t xml:space="preserve">条 </w:t>
      </w:r>
      <w:r>
        <w:rPr>
          <w:rStyle w:val="7"/>
          <w:rFonts w:hint="eastAsia" w:ascii="仿宋_GB2312" w:hAnsi="仿宋_GB2312" w:eastAsia="仿宋_GB2312" w:cs="仿宋_GB2312"/>
          <w:b w:val="0"/>
          <w:bCs w:val="0"/>
          <w:color w:val="auto"/>
          <w:sz w:val="32"/>
          <w:szCs w:val="32"/>
          <w:lang w:val="en-US" w:eastAsia="zh-CN" w:bidi="ar"/>
        </w:rPr>
        <w:t>长护险基金来源为：</w:t>
      </w:r>
    </w:p>
    <w:p w14:paraId="0C89059F">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outlineLvl w:val="2"/>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（一）长护险保险费的缴费收入及其利息；</w:t>
      </w:r>
    </w:p>
    <w:p w14:paraId="3F36234B">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（二）长护险实施当年，从职工医保统筹基金历年结余中按5%比例一次性划转至长护险基金；</w:t>
      </w:r>
    </w:p>
    <w:p w14:paraId="33AC357C">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（三）财政补贴；</w:t>
      </w:r>
    </w:p>
    <w:p w14:paraId="64A2E48B">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bidi="ar"/>
        </w:rPr>
        <w:t>（四）社会捐助及其他合法收入。</w:t>
      </w:r>
    </w:p>
    <w:p w14:paraId="2BA73034">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outlineLvl w:val="1"/>
        <w:rPr>
          <w:rFonts w:hint="eastAsia" w:ascii="仿宋_GB2312" w:hAnsi="仿宋_GB2312" w:eastAsia="仿宋_GB2312" w:cs="仿宋_GB2312"/>
          <w:b w:val="0"/>
          <w:bCs w:val="0"/>
          <w:color w:val="auto"/>
          <w:sz w:val="32"/>
          <w:szCs w:val="32"/>
        </w:rPr>
      </w:pPr>
      <w:r>
        <w:rPr>
          <w:rFonts w:hint="eastAsia" w:ascii="黑体" w:hAnsi="宋体" w:eastAsia="黑体" w:cs="黑体"/>
          <w:b w:val="0"/>
          <w:bCs w:val="0"/>
          <w:color w:val="auto"/>
          <w:kern w:val="0"/>
          <w:sz w:val="32"/>
          <w:szCs w:val="32"/>
          <w:lang w:val="en-US" w:eastAsia="zh-CN" w:bidi="ar"/>
        </w:rPr>
        <w:t>第三十</w:t>
      </w:r>
      <w:r>
        <w:rPr>
          <w:rFonts w:hint="eastAsia" w:ascii="黑体" w:eastAsia="黑体" w:cs="黑体"/>
          <w:b w:val="0"/>
          <w:bCs w:val="0"/>
          <w:color w:val="auto"/>
          <w:kern w:val="0"/>
          <w:sz w:val="32"/>
          <w:szCs w:val="32"/>
          <w:lang w:val="en-US" w:eastAsia="zh-CN" w:bidi="ar"/>
        </w:rPr>
        <w:t>三</w:t>
      </w:r>
      <w:r>
        <w:rPr>
          <w:rFonts w:hint="eastAsia" w:ascii="黑体" w:hAnsi="宋体" w:eastAsia="黑体" w:cs="黑体"/>
          <w:b w:val="0"/>
          <w:bCs w:val="0"/>
          <w:color w:val="auto"/>
          <w:kern w:val="0"/>
          <w:sz w:val="32"/>
          <w:szCs w:val="32"/>
          <w:lang w:val="en-US" w:eastAsia="zh-CN" w:bidi="ar"/>
        </w:rPr>
        <w:t>条</w:t>
      </w:r>
      <w:r>
        <w:rPr>
          <w:rFonts w:hint="eastAsia" w:ascii="Times New Roman" w:hAnsi="Times New Roman" w:eastAsia="黑体" w:cs="Times New Roman"/>
          <w:b w:val="0"/>
          <w:bCs w:val="0"/>
          <w:color w:val="auto"/>
          <w:kern w:val="0"/>
          <w:sz w:val="32"/>
          <w:szCs w:val="32"/>
          <w:lang w:val="en-US" w:eastAsia="zh-CN" w:bidi="ar"/>
        </w:rPr>
        <w:t xml:space="preserve"> </w:t>
      </w:r>
      <w:r>
        <w:rPr>
          <w:rStyle w:val="7"/>
          <w:rFonts w:hint="eastAsia" w:ascii="仿宋_GB2312" w:hAnsi="仿宋_GB2312" w:eastAsia="仿宋_GB2312" w:cs="仿宋_GB2312"/>
          <w:b w:val="0"/>
          <w:bCs w:val="0"/>
          <w:color w:val="auto"/>
          <w:sz w:val="32"/>
          <w:szCs w:val="32"/>
          <w:lang w:val="en-US" w:eastAsia="zh-CN" w:bidi="ar"/>
        </w:rPr>
        <w:t>长护险基金支付范围：</w:t>
      </w:r>
    </w:p>
    <w:p w14:paraId="22EEFC1D">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Style w:val="7"/>
          <w:rFonts w:hint="eastAsia" w:ascii="仿宋_GB2312" w:hAnsi="仿宋_GB2312" w:eastAsia="仿宋_GB2312" w:cs="仿宋_GB2312"/>
          <w:b w:val="0"/>
          <w:bCs w:val="0"/>
          <w:color w:val="auto"/>
          <w:sz w:val="32"/>
          <w:szCs w:val="32"/>
          <w:lang w:val="en-US" w:eastAsia="zh-CN" w:bidi="ar"/>
        </w:rPr>
        <w:t>（一）长护险待遇支付费用；</w:t>
      </w:r>
    </w:p>
    <w:p w14:paraId="524A42F2">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Style w:val="7"/>
          <w:rFonts w:hint="eastAsia" w:ascii="仿宋_GB2312" w:hAnsi="仿宋_GB2312" w:eastAsia="仿宋_GB2312" w:cs="仿宋_GB2312"/>
          <w:b w:val="0"/>
          <w:bCs w:val="0"/>
          <w:color w:val="auto"/>
          <w:sz w:val="32"/>
          <w:szCs w:val="32"/>
          <w:lang w:val="en-US" w:eastAsia="zh-CN" w:bidi="ar"/>
        </w:rPr>
        <w:t>（二）失能等级评估费用；</w:t>
      </w:r>
    </w:p>
    <w:p w14:paraId="15A199AA">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Style w:val="7"/>
          <w:rFonts w:hint="eastAsia" w:ascii="仿宋_GB2312" w:hAnsi="仿宋_GB2312" w:eastAsia="仿宋_GB2312" w:cs="仿宋_GB2312"/>
          <w:b w:val="0"/>
          <w:bCs w:val="0"/>
          <w:color w:val="auto"/>
          <w:sz w:val="32"/>
          <w:szCs w:val="32"/>
          <w:lang w:val="en-US" w:eastAsia="zh-CN" w:bidi="ar"/>
        </w:rPr>
        <w:t>（三）第三方机构经办服务费；</w:t>
      </w:r>
    </w:p>
    <w:p w14:paraId="1A6EE5AB">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Style w:val="7"/>
          <w:rFonts w:hint="eastAsia" w:ascii="仿宋_GB2312" w:hAnsi="仿宋_GB2312" w:eastAsia="仿宋_GB2312" w:cs="仿宋_GB2312"/>
          <w:b w:val="0"/>
          <w:bCs w:val="0"/>
          <w:color w:val="auto"/>
          <w:sz w:val="32"/>
          <w:szCs w:val="32"/>
          <w:lang w:val="en-US" w:eastAsia="zh-CN" w:bidi="ar"/>
        </w:rPr>
        <w:t>（四）法律、法规规定的其他费用。</w:t>
      </w:r>
    </w:p>
    <w:p w14:paraId="647D0389">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u w:val="single"/>
        </w:rPr>
      </w:pPr>
      <w:r>
        <w:rPr>
          <w:rFonts w:hint="eastAsia" w:ascii="黑体" w:hAnsi="宋体" w:eastAsia="黑体" w:cs="黑体"/>
          <w:b w:val="0"/>
          <w:bCs w:val="0"/>
          <w:i w:val="0"/>
          <w:iCs w:val="0"/>
          <w:caps w:val="0"/>
          <w:color w:val="auto"/>
          <w:spacing w:val="0"/>
          <w:kern w:val="0"/>
          <w:sz w:val="32"/>
          <w:szCs w:val="32"/>
          <w:lang w:val="en-US" w:eastAsia="zh-CN" w:bidi="ar"/>
        </w:rPr>
        <w:t>第三十四条</w:t>
      </w:r>
      <w:r>
        <w:rPr>
          <w:rFonts w:hint="eastAsia" w:ascii="Times New Roman" w:hAnsi="Times New Roman" w:eastAsia="黑体" w:cs="Times New Roman"/>
          <w:b w:val="0"/>
          <w:bCs w:val="0"/>
          <w:i w:val="0"/>
          <w:iCs w:val="0"/>
          <w:caps w:val="0"/>
          <w:color w:val="auto"/>
          <w:spacing w:val="0"/>
          <w:kern w:val="0"/>
          <w:sz w:val="32"/>
          <w:szCs w:val="32"/>
          <w:lang w:val="en-US" w:eastAsia="zh-CN" w:bidi="ar"/>
        </w:rPr>
        <w:t xml:space="preserve"> </w:t>
      </w:r>
      <w:r>
        <w:rPr>
          <w:rFonts w:hint="eastAsia" w:ascii="仿宋_GB2312" w:hAnsi="仿宋_GB2312" w:eastAsia="仿宋_GB2312" w:cs="仿宋_GB2312"/>
          <w:i w:val="0"/>
          <w:iCs w:val="0"/>
          <w:caps w:val="0"/>
          <w:color w:val="auto"/>
          <w:spacing w:val="0"/>
          <w:kern w:val="0"/>
          <w:sz w:val="32"/>
          <w:szCs w:val="32"/>
          <w:lang w:val="en-US" w:eastAsia="zh-CN" w:bidi="ar"/>
        </w:rPr>
        <w:t>明确申请渠道与对应服务保障体系。参保人员通过长护险渠道申请失能评估并通过审核的，仅可享受长护险相关待遇。</w:t>
      </w:r>
    </w:p>
    <w:p w14:paraId="5B90BF13">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outlineLvl w:val="9"/>
        <w:rPr>
          <w:rFonts w:hint="eastAsia" w:ascii="黑体" w:hAnsi="宋体" w:eastAsia="黑体" w:cs="黑体"/>
          <w:b w:val="0"/>
          <w:bCs w:val="0"/>
          <w:color w:val="auto"/>
          <w:kern w:val="2"/>
          <w:sz w:val="32"/>
          <w:szCs w:val="32"/>
          <w:lang w:val="en-US" w:eastAsia="zh-CN" w:bidi="ar"/>
        </w:rPr>
      </w:pPr>
      <w:r>
        <w:rPr>
          <w:rFonts w:hint="eastAsia" w:ascii="黑体" w:hAnsi="宋体" w:eastAsia="黑体" w:cs="黑体"/>
          <w:b w:val="0"/>
          <w:bCs w:val="0"/>
          <w:color w:val="auto"/>
          <w:kern w:val="0"/>
          <w:sz w:val="32"/>
          <w:szCs w:val="32"/>
          <w:lang w:val="en-US" w:eastAsia="zh-CN" w:bidi="ar"/>
        </w:rPr>
        <w:t>第三十五条</w:t>
      </w:r>
      <w:r>
        <w:rPr>
          <w:rFonts w:hint="eastAsia" w:ascii="Times New Roman" w:hAnsi="Times New Roman" w:eastAsia="黑体" w:cs="Times New Roman"/>
          <w:b w:val="0"/>
          <w:bCs w:val="0"/>
          <w:color w:val="auto"/>
          <w:kern w:val="0"/>
          <w:sz w:val="32"/>
          <w:szCs w:val="32"/>
          <w:lang w:val="en-US" w:eastAsia="zh-CN" w:bidi="ar"/>
        </w:rPr>
        <w:t xml:space="preserve"> </w:t>
      </w:r>
      <w:r>
        <w:rPr>
          <w:rStyle w:val="7"/>
          <w:rFonts w:hint="eastAsia" w:ascii="仿宋_GB2312" w:hAnsi="仿宋_GB2312" w:eastAsia="仿宋_GB2312" w:cs="仿宋_GB2312"/>
          <w:b w:val="0"/>
          <w:bCs w:val="0"/>
          <w:color w:val="auto"/>
          <w:kern w:val="0"/>
          <w:sz w:val="32"/>
          <w:szCs w:val="32"/>
          <w:lang w:val="en-US" w:eastAsia="zh-CN" w:bidi="ar"/>
        </w:rPr>
        <w:t>对参保人员同时符合长护险、养老护理补贴等申领条件的，原则上根据本人意愿享受其中一项补贴政策。享受特困人员和完全失能低保老年人入住养老机构照护护理政策等对象，不再享受长护险待遇。</w:t>
      </w:r>
    </w:p>
    <w:p w14:paraId="09FD628F">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2880" w:firstLineChars="900"/>
        <w:jc w:val="both"/>
        <w:textAlignment w:val="auto"/>
        <w:outlineLvl w:val="0"/>
        <w:rPr>
          <w:rFonts w:hint="default" w:ascii="Times New Roman" w:hAnsi="Times New Roman" w:eastAsia="黑体" w:cs="Times New Roman"/>
          <w:b w:val="0"/>
          <w:bCs w:val="0"/>
          <w:color w:val="auto"/>
          <w:kern w:val="2"/>
          <w:sz w:val="32"/>
          <w:szCs w:val="32"/>
        </w:rPr>
      </w:pPr>
      <w:r>
        <w:rPr>
          <w:rFonts w:hint="eastAsia" w:ascii="黑体" w:hAnsi="宋体" w:eastAsia="黑体" w:cs="黑体"/>
          <w:b w:val="0"/>
          <w:bCs w:val="0"/>
          <w:color w:val="auto"/>
          <w:kern w:val="2"/>
          <w:sz w:val="32"/>
          <w:szCs w:val="32"/>
          <w:lang w:val="en-US" w:eastAsia="zh-CN" w:bidi="ar"/>
        </w:rPr>
        <w:t>第六章</w:t>
      </w:r>
      <w:r>
        <w:rPr>
          <w:rFonts w:hint="default" w:ascii="Times New Roman" w:hAnsi="Times New Roman" w:eastAsia="黑体" w:cs="Times New Roman"/>
          <w:b w:val="0"/>
          <w:bCs w:val="0"/>
          <w:color w:val="auto"/>
          <w:kern w:val="2"/>
          <w:sz w:val="32"/>
          <w:szCs w:val="32"/>
          <w:lang w:val="en-US" w:eastAsia="zh-CN" w:bidi="ar"/>
        </w:rPr>
        <w:t xml:space="preserve"> </w:t>
      </w:r>
      <w:r>
        <w:rPr>
          <w:rFonts w:hint="eastAsia" w:ascii="黑体" w:hAnsi="宋体" w:eastAsia="黑体" w:cs="黑体"/>
          <w:b w:val="0"/>
          <w:bCs w:val="0"/>
          <w:color w:val="auto"/>
          <w:kern w:val="2"/>
          <w:sz w:val="32"/>
          <w:szCs w:val="32"/>
          <w:lang w:val="en-US" w:eastAsia="zh-CN" w:bidi="ar"/>
        </w:rPr>
        <w:t>服务管理</w:t>
      </w:r>
    </w:p>
    <w:p w14:paraId="71689765">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黑体" w:hAnsi="宋体" w:eastAsia="黑体" w:cs="黑体"/>
          <w:b w:val="0"/>
          <w:bCs w:val="0"/>
          <w:color w:val="auto"/>
          <w:kern w:val="0"/>
          <w:sz w:val="32"/>
          <w:szCs w:val="32"/>
          <w:lang w:val="en-US" w:eastAsia="zh-CN" w:bidi="ar"/>
        </w:rPr>
      </w:pPr>
    </w:p>
    <w:p w14:paraId="248064A8">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黑体" w:hAnsi="宋体" w:eastAsia="黑体" w:cs="黑体"/>
          <w:b w:val="0"/>
          <w:bCs w:val="0"/>
          <w:color w:val="auto"/>
          <w:kern w:val="0"/>
          <w:sz w:val="32"/>
          <w:szCs w:val="32"/>
          <w:lang w:val="en-US" w:eastAsia="zh-CN" w:bidi="ar"/>
        </w:rPr>
        <w:t>第三十六条</w:t>
      </w:r>
      <w:r>
        <w:rPr>
          <w:rFonts w:hint="eastAsia" w:ascii="Times New Roman" w:hAnsi="Times New Roman" w:eastAsia="黑体" w:cs="Times New Roman"/>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市级医疗保障行政部门应当根据参保人员长期护理服务需求、长护险基金收支、长期护理服务资源等情况，统筹规划区域内定点长护服务机构的资源配置。</w:t>
      </w:r>
    </w:p>
    <w:p w14:paraId="68187EA1">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黑体" w:hAnsi="宋体" w:eastAsia="黑体" w:cs="黑体"/>
          <w:b w:val="0"/>
          <w:bCs w:val="0"/>
          <w:color w:val="auto"/>
          <w:kern w:val="0"/>
          <w:sz w:val="32"/>
          <w:szCs w:val="32"/>
          <w:lang w:val="en-US" w:eastAsia="zh-CN" w:bidi="ar"/>
        </w:rPr>
        <w:t>第三十七条</w:t>
      </w:r>
      <w:r>
        <w:rPr>
          <w:rFonts w:hint="eastAsia" w:ascii="Times New Roman" w:hAnsi="Times New Roman" w:eastAsia="黑体" w:cs="Times New Roman"/>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长护服务机构实行定点管理，符合条件的养老机构、医疗机构或者其他服务机构，可以自愿向统筹地区医疗保障经办机构申请成为长护服务机构。具体长护服务机构管理办法由市医疗保障部门按照国家、省有关规定另行制定。</w:t>
      </w:r>
    </w:p>
    <w:p w14:paraId="655AF5F7">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黑体" w:hAnsi="宋体" w:eastAsia="黑体" w:cs="黑体"/>
          <w:b w:val="0"/>
          <w:bCs w:val="0"/>
          <w:color w:val="auto"/>
          <w:kern w:val="0"/>
          <w:sz w:val="32"/>
          <w:szCs w:val="32"/>
          <w:lang w:val="en-US" w:eastAsia="zh-CN" w:bidi="ar"/>
        </w:rPr>
        <w:t>第三十八条</w:t>
      </w:r>
      <w:r>
        <w:rPr>
          <w:rFonts w:hint="eastAsia" w:ascii="Times New Roman" w:hAnsi="Times New Roman" w:eastAsia="黑体" w:cs="Times New Roman"/>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长护服务机构应遵守医疗保障法律法规、规章及有关政策，按照本办法规定和协议约定向参保人提供安全、合理、优质的长护险护理服务，并主动接受监督检查。长护服务机构应当对长护险照护服务人员定期开展业务知识、操作技能、服务规范以及安全上岗等培训和指导。</w:t>
      </w:r>
    </w:p>
    <w:p w14:paraId="241E6253">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黑体" w:hAnsi="宋体" w:eastAsia="黑体" w:cs="黑体"/>
          <w:b w:val="0"/>
          <w:bCs w:val="0"/>
          <w:color w:val="auto"/>
          <w:kern w:val="0"/>
          <w:sz w:val="32"/>
          <w:szCs w:val="32"/>
          <w:lang w:val="en-US" w:eastAsia="zh-CN" w:bidi="ar"/>
        </w:rPr>
        <w:t>第三十九条</w:t>
      </w:r>
      <w:r>
        <w:rPr>
          <w:rFonts w:hint="eastAsia" w:ascii="Times New Roman" w:hAnsi="Times New Roman" w:eastAsia="黑体" w:cs="Times New Roman"/>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医疗保障经</w:t>
      </w:r>
      <w:r>
        <w:rPr>
          <w:rFonts w:hint="eastAsia" w:ascii="仿宋_GB2312" w:hAnsi="仿宋_GB2312" w:eastAsia="仿宋_GB2312" w:cs="仿宋_GB2312"/>
          <w:b w:val="0"/>
          <w:bCs w:val="0"/>
          <w:color w:val="auto"/>
          <w:kern w:val="2"/>
          <w:sz w:val="32"/>
          <w:szCs w:val="32"/>
          <w:lang w:val="en-US" w:eastAsia="zh-CN" w:bidi="ar"/>
        </w:rPr>
        <w:t>办机构按协议约定及时向</w:t>
      </w:r>
      <w:r>
        <w:rPr>
          <w:rFonts w:hint="eastAsia" w:ascii="仿宋_GB2312" w:hAnsi="仿宋_GB2312" w:eastAsia="仿宋_GB2312" w:cs="仿宋_GB2312"/>
          <w:b w:val="0"/>
          <w:bCs w:val="0"/>
          <w:color w:val="auto"/>
          <w:kern w:val="0"/>
          <w:sz w:val="32"/>
          <w:szCs w:val="32"/>
          <w:lang w:val="en-US" w:eastAsia="zh-CN" w:bidi="ar"/>
        </w:rPr>
        <w:t>长护定点服务机构</w:t>
      </w:r>
      <w:r>
        <w:rPr>
          <w:rFonts w:hint="eastAsia" w:ascii="仿宋_GB2312" w:hAnsi="仿宋_GB2312" w:eastAsia="仿宋_GB2312" w:cs="仿宋_GB2312"/>
          <w:b w:val="0"/>
          <w:bCs w:val="0"/>
          <w:color w:val="auto"/>
          <w:kern w:val="2"/>
          <w:sz w:val="32"/>
          <w:szCs w:val="32"/>
          <w:lang w:val="en-US" w:eastAsia="zh-CN" w:bidi="ar"/>
        </w:rPr>
        <w:t>拨付长护险服务费用，每月预留服务费用的5%作为质量保证金，根据年度考核评定结果进行年终清算。</w:t>
      </w:r>
    </w:p>
    <w:p w14:paraId="70D5379A">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32"/>
        </w:rPr>
      </w:pPr>
      <w:r>
        <w:rPr>
          <w:rFonts w:hint="eastAsia" w:ascii="黑体" w:hAnsi="宋体" w:eastAsia="黑体" w:cs="黑体"/>
          <w:b w:val="0"/>
          <w:bCs w:val="0"/>
          <w:color w:val="auto"/>
          <w:kern w:val="0"/>
          <w:sz w:val="32"/>
          <w:szCs w:val="32"/>
          <w:lang w:val="en-US" w:eastAsia="zh-CN" w:bidi="ar"/>
        </w:rPr>
        <w:t>第四十条</w:t>
      </w:r>
      <w:r>
        <w:rPr>
          <w:rFonts w:hint="eastAsia" w:ascii="Times New Roman" w:hAnsi="Times New Roman" w:eastAsia="黑体" w:cs="Times New Roman"/>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kern w:val="2"/>
          <w:sz w:val="32"/>
          <w:szCs w:val="32"/>
          <w:lang w:val="en-US" w:eastAsia="zh-CN" w:bidi="ar"/>
        </w:rPr>
        <w:t>长护险信息化建设要依托全国统一的医保信息平台，按照信息化、标准化相关工作要求，统一进行规划设计和建设，完善长护险业务系统，并逐步与人社、卫健、民政等行业管理部门相关信息系统建立互联互通、信息共享等工作。</w:t>
      </w:r>
    </w:p>
    <w:p w14:paraId="21DB9484">
      <w:pPr>
        <w:keepNext w:val="0"/>
        <w:keepLines w:val="0"/>
        <w:pageBreakBefore w:val="0"/>
        <w:widowControl w:val="0"/>
        <w:suppressLineNumbers w:val="0"/>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32"/>
        </w:rPr>
      </w:pPr>
      <w:r>
        <w:rPr>
          <w:rFonts w:hint="eastAsia" w:ascii="黑体" w:hAnsi="宋体" w:eastAsia="黑体" w:cs="黑体"/>
          <w:b w:val="0"/>
          <w:bCs w:val="0"/>
          <w:color w:val="auto"/>
          <w:kern w:val="0"/>
          <w:sz w:val="32"/>
          <w:szCs w:val="32"/>
          <w:lang w:val="en-US" w:eastAsia="zh-CN" w:bidi="ar"/>
        </w:rPr>
        <w:t>第四十一条</w:t>
      </w:r>
      <w:r>
        <w:rPr>
          <w:rFonts w:hint="eastAsia" w:ascii="Times New Roman" w:hAnsi="Times New Roman" w:eastAsia="黑体" w:cs="Times New Roman"/>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kern w:val="2"/>
          <w:sz w:val="32"/>
          <w:szCs w:val="32"/>
          <w:lang w:val="en-US" w:eastAsia="zh-CN" w:bidi="ar"/>
        </w:rPr>
        <w:t>定点评估机构、长护服务机构应加强信息化建设，按照全国统一的接口规范实现与医保信息平台长护险功能模块联通，并按规定及时全面准确向长护险信息系统传送审核和结算所需的全量数据信息。</w:t>
      </w:r>
    </w:p>
    <w:p w14:paraId="67BDC661">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宋体" w:eastAsia="黑体" w:cs="黑体"/>
          <w:b w:val="0"/>
          <w:bCs w:val="0"/>
          <w:color w:val="auto"/>
          <w:kern w:val="0"/>
          <w:sz w:val="32"/>
          <w:szCs w:val="32"/>
          <w:lang w:val="en-US" w:eastAsia="zh-CN" w:bidi="ar"/>
        </w:rPr>
        <w:t>第</w:t>
      </w:r>
      <w:r>
        <w:rPr>
          <w:rFonts w:hint="eastAsia" w:ascii="黑体" w:eastAsia="黑体" w:cs="黑体"/>
          <w:b w:val="0"/>
          <w:bCs w:val="0"/>
          <w:color w:val="auto"/>
          <w:kern w:val="0"/>
          <w:sz w:val="32"/>
          <w:szCs w:val="32"/>
          <w:lang w:val="en-US" w:eastAsia="zh-CN" w:bidi="ar"/>
        </w:rPr>
        <w:t>四十二</w:t>
      </w:r>
      <w:r>
        <w:rPr>
          <w:rFonts w:hint="eastAsia" w:ascii="黑体" w:hAnsi="宋体" w:eastAsia="黑体" w:cs="黑体"/>
          <w:b w:val="0"/>
          <w:bCs w:val="0"/>
          <w:color w:val="auto"/>
          <w:kern w:val="0"/>
          <w:sz w:val="32"/>
          <w:szCs w:val="32"/>
          <w:lang w:val="en-US" w:eastAsia="zh-CN" w:bidi="ar"/>
        </w:rPr>
        <w:t>条</w:t>
      </w:r>
      <w:r>
        <w:rPr>
          <w:rFonts w:hint="eastAsia" w:ascii="Times New Roman" w:hAnsi="Times New Roman" w:eastAsia="黑体" w:cs="Times New Roman"/>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市医疗保障经办机构可按照规定通过公开招标等方式选择第三方机构等社会力量参与长护险经办服务。医疗保障经办机构应综合考虑服务人口、待遇水平、机构运行成本、工作绩效等因素合理确定第三方机构的费用，并按规定从长护险基金中按比例支付，在委托合同中约定。</w:t>
      </w:r>
      <w:r>
        <w:rPr>
          <w:rFonts w:hint="eastAsia" w:ascii="仿宋_GB2312" w:hAnsi="仿宋_GB2312" w:eastAsia="仿宋_GB2312" w:cs="仿宋_GB2312"/>
          <w:spacing w:val="-11"/>
          <w:sz w:val="32"/>
          <w:szCs w:val="32"/>
        </w:rPr>
        <w:t>合同期限原则上不低于3</w:t>
      </w:r>
      <w:r>
        <w:rPr>
          <w:rFonts w:hint="eastAsia" w:ascii="仿宋_GB2312" w:hAnsi="仿宋_GB2312" w:eastAsia="仿宋_GB2312" w:cs="仿宋_GB2312"/>
          <w:sz w:val="32"/>
          <w:szCs w:val="32"/>
        </w:rPr>
        <w:t>年。</w:t>
      </w:r>
    </w:p>
    <w:p w14:paraId="474B081B">
      <w:pPr>
        <w:pStyle w:val="4"/>
        <w:keepNext w:val="0"/>
        <w:keepLines w:val="0"/>
        <w:pageBreakBefore w:val="0"/>
        <w:widowControl/>
        <w:suppressLineNumbers w:val="0"/>
        <w:shd w:val="clear" w:fill="FFFFFF"/>
        <w:kinsoku/>
        <w:wordWrap w:val="0"/>
        <w:overflowPunct/>
        <w:topLinePunct w:val="0"/>
        <w:autoSpaceDN/>
        <w:bidi w:val="0"/>
        <w:snapToGrid/>
        <w:spacing w:before="0" w:beforeAutospacing="0" w:after="0" w:afterAutospacing="0" w:line="560" w:lineRule="exact"/>
        <w:ind w:left="0" w:right="0" w:firstLine="640" w:firstLineChars="200"/>
        <w:jc w:val="left"/>
        <w:textAlignment w:val="auto"/>
        <w:outlineLvl w:val="0"/>
        <w:rPr>
          <w:rFonts w:hint="eastAsia" w:ascii="仿宋_GB2312" w:hAnsi="仿宋_GB2312" w:eastAsia="仿宋_GB2312" w:cs="仿宋_GB2312"/>
          <w:b w:val="0"/>
          <w:bCs w:val="0"/>
          <w:color w:val="auto"/>
          <w:kern w:val="0"/>
          <w:sz w:val="32"/>
          <w:szCs w:val="32"/>
          <w:shd w:val="clear" w:fill="FFFFFF"/>
          <w:lang w:val="en-US" w:eastAsia="zh-CN" w:bidi="ar"/>
        </w:rPr>
      </w:pPr>
      <w:r>
        <w:rPr>
          <w:rFonts w:hint="eastAsia" w:ascii="黑体" w:hAnsi="宋体" w:eastAsia="黑体" w:cs="黑体"/>
          <w:b w:val="0"/>
          <w:bCs w:val="0"/>
          <w:i w:val="0"/>
          <w:iCs w:val="0"/>
          <w:caps w:val="0"/>
          <w:color w:val="auto"/>
          <w:spacing w:val="0"/>
          <w:kern w:val="2"/>
          <w:sz w:val="32"/>
          <w:szCs w:val="32"/>
          <w:lang w:val="en-US" w:eastAsia="zh-CN" w:bidi="ar"/>
        </w:rPr>
        <w:t>第</w:t>
      </w:r>
      <w:r>
        <w:rPr>
          <w:rFonts w:hint="eastAsia" w:ascii="黑体" w:eastAsia="黑体" w:cs="黑体"/>
          <w:b w:val="0"/>
          <w:bCs w:val="0"/>
          <w:i w:val="0"/>
          <w:iCs w:val="0"/>
          <w:caps w:val="0"/>
          <w:color w:val="auto"/>
          <w:spacing w:val="0"/>
          <w:kern w:val="2"/>
          <w:sz w:val="32"/>
          <w:szCs w:val="32"/>
          <w:lang w:val="en-US" w:eastAsia="zh-CN" w:bidi="ar"/>
        </w:rPr>
        <w:t>四十三</w:t>
      </w:r>
      <w:r>
        <w:rPr>
          <w:rFonts w:hint="eastAsia" w:ascii="黑体" w:hAnsi="宋体" w:eastAsia="黑体" w:cs="黑体"/>
          <w:b w:val="0"/>
          <w:bCs w:val="0"/>
          <w:i w:val="0"/>
          <w:iCs w:val="0"/>
          <w:caps w:val="0"/>
          <w:color w:val="auto"/>
          <w:spacing w:val="0"/>
          <w:kern w:val="2"/>
          <w:sz w:val="32"/>
          <w:szCs w:val="32"/>
          <w:lang w:val="en-US" w:eastAsia="zh-CN" w:bidi="ar"/>
        </w:rPr>
        <w:t xml:space="preserve">条 </w:t>
      </w:r>
      <w:r>
        <w:rPr>
          <w:rFonts w:hint="eastAsia" w:ascii="仿宋_GB2312" w:hAnsi="仿宋_GB2312" w:eastAsia="仿宋_GB2312" w:cs="仿宋_GB2312"/>
          <w:i w:val="0"/>
          <w:iCs w:val="0"/>
          <w:caps w:val="0"/>
          <w:color w:val="auto"/>
          <w:spacing w:val="0"/>
          <w:kern w:val="2"/>
          <w:sz w:val="32"/>
          <w:szCs w:val="32"/>
          <w:lang w:val="en-US" w:eastAsia="zh-CN" w:bidi="ar"/>
        </w:rPr>
        <w:t>长护险经办队伍统一配置与动态调整，明确岗位职责，强化人员培训，长护险参保范围扩大到城乡居民基本医疗保险参保人员后，逐步实现职工、居民长护险业务协同办理，根据业务增量合理扩充服务队伍，保障服务质效，推动制度平稳实施。</w:t>
      </w:r>
    </w:p>
    <w:p w14:paraId="51EFB4A7">
      <w:pPr>
        <w:keepNext w:val="0"/>
        <w:keepLines w:val="0"/>
        <w:pageBreakBefore w:val="0"/>
        <w:widowControl w:val="0"/>
        <w:suppressLineNumbers w:val="0"/>
        <w:shd w:val="clear" w:fill="FFFFFF"/>
        <w:kinsoku/>
        <w:overflowPunct/>
        <w:topLinePunct w:val="0"/>
        <w:autoSpaceDN/>
        <w:bidi w:val="0"/>
        <w:snapToGrid/>
        <w:spacing w:before="0" w:beforeAutospacing="0" w:after="0" w:afterAutospacing="0" w:line="560" w:lineRule="exact"/>
        <w:ind w:left="0" w:right="0" w:firstLine="2880" w:firstLineChars="900"/>
        <w:jc w:val="both"/>
        <w:textAlignment w:val="auto"/>
        <w:outlineLvl w:val="0"/>
        <w:rPr>
          <w:rFonts w:hint="eastAsia" w:ascii="黑体" w:hAnsi="宋体" w:eastAsia="黑体" w:cs="黑体"/>
          <w:b w:val="0"/>
          <w:bCs w:val="0"/>
          <w:color w:val="auto"/>
          <w:kern w:val="0"/>
          <w:sz w:val="32"/>
          <w:szCs w:val="32"/>
          <w:shd w:val="clear" w:fill="FFFFFF"/>
          <w:lang w:val="en-US" w:eastAsia="zh-CN" w:bidi="ar"/>
        </w:rPr>
      </w:pPr>
    </w:p>
    <w:p w14:paraId="028A8CBB">
      <w:pPr>
        <w:keepNext w:val="0"/>
        <w:keepLines w:val="0"/>
        <w:pageBreakBefore w:val="0"/>
        <w:widowControl w:val="0"/>
        <w:suppressLineNumbers w:val="0"/>
        <w:shd w:val="clear" w:fill="FFFFFF"/>
        <w:kinsoku/>
        <w:overflowPunct/>
        <w:topLinePunct w:val="0"/>
        <w:autoSpaceDN/>
        <w:bidi w:val="0"/>
        <w:snapToGrid/>
        <w:spacing w:before="0" w:beforeAutospacing="0" w:after="0" w:afterAutospacing="0" w:line="560" w:lineRule="exact"/>
        <w:ind w:left="0" w:right="0" w:firstLine="2880" w:firstLineChars="900"/>
        <w:jc w:val="both"/>
        <w:textAlignment w:val="auto"/>
        <w:outlineLvl w:val="0"/>
        <w:rPr>
          <w:rFonts w:hint="default" w:ascii="Times New Roman" w:hAnsi="Times New Roman" w:eastAsia="黑体" w:cs="Times New Roman"/>
          <w:b w:val="0"/>
          <w:bCs w:val="0"/>
          <w:color w:val="auto"/>
          <w:kern w:val="0"/>
          <w:sz w:val="32"/>
          <w:szCs w:val="32"/>
          <w:shd w:val="clear" w:fill="FFFFFF"/>
        </w:rPr>
      </w:pPr>
      <w:r>
        <w:rPr>
          <w:rFonts w:hint="eastAsia" w:ascii="黑体" w:hAnsi="宋体" w:eastAsia="黑体" w:cs="黑体"/>
          <w:b w:val="0"/>
          <w:bCs w:val="0"/>
          <w:color w:val="auto"/>
          <w:kern w:val="0"/>
          <w:sz w:val="32"/>
          <w:szCs w:val="32"/>
          <w:shd w:val="clear" w:fill="FFFFFF"/>
          <w:lang w:val="en-US" w:eastAsia="zh-CN" w:bidi="ar"/>
        </w:rPr>
        <w:t>第七章</w:t>
      </w:r>
      <w:r>
        <w:rPr>
          <w:rFonts w:hint="default" w:ascii="Times New Roman" w:hAnsi="Times New Roman" w:eastAsia="黑体" w:cs="Times New Roman"/>
          <w:b w:val="0"/>
          <w:bCs w:val="0"/>
          <w:color w:val="auto"/>
          <w:kern w:val="0"/>
          <w:sz w:val="32"/>
          <w:szCs w:val="32"/>
          <w:shd w:val="clear" w:fill="FFFFFF"/>
          <w:lang w:val="en-US" w:eastAsia="zh-CN" w:bidi="ar"/>
        </w:rPr>
        <w:t xml:space="preserve"> </w:t>
      </w:r>
      <w:r>
        <w:rPr>
          <w:rFonts w:hint="eastAsia" w:ascii="黑体" w:hAnsi="宋体" w:eastAsia="黑体" w:cs="黑体"/>
          <w:b w:val="0"/>
          <w:bCs w:val="0"/>
          <w:color w:val="auto"/>
          <w:kern w:val="0"/>
          <w:sz w:val="32"/>
          <w:szCs w:val="32"/>
          <w:shd w:val="clear" w:fill="FFFFFF"/>
          <w:lang w:val="en-US" w:eastAsia="zh-CN" w:bidi="ar"/>
        </w:rPr>
        <w:t>监督管理</w:t>
      </w:r>
    </w:p>
    <w:p w14:paraId="47B355B2">
      <w:pPr>
        <w:keepNext w:val="0"/>
        <w:keepLines w:val="0"/>
        <w:pageBreakBefore w:val="0"/>
        <w:widowControl w:val="0"/>
        <w:suppressLineNumbers w:val="0"/>
        <w:shd w:val="clear" w:fill="FFFFFF"/>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黑体" w:hAnsi="宋体" w:eastAsia="黑体" w:cs="黑体"/>
          <w:b w:val="0"/>
          <w:bCs w:val="0"/>
          <w:color w:val="auto"/>
          <w:kern w:val="0"/>
          <w:sz w:val="32"/>
          <w:szCs w:val="32"/>
          <w:shd w:val="clear" w:fill="FFFFFF"/>
          <w:lang w:val="en-US" w:eastAsia="zh-CN" w:bidi="ar"/>
        </w:rPr>
      </w:pPr>
    </w:p>
    <w:p w14:paraId="16363945">
      <w:pPr>
        <w:keepNext w:val="0"/>
        <w:keepLines w:val="0"/>
        <w:pageBreakBefore w:val="0"/>
        <w:widowControl w:val="0"/>
        <w:suppressLineNumbers w:val="0"/>
        <w:shd w:val="clear" w:fill="FFFFFF"/>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32"/>
          <w:shd w:val="clear" w:fill="FFFFFF"/>
        </w:rPr>
      </w:pPr>
      <w:r>
        <w:rPr>
          <w:rFonts w:hint="eastAsia" w:ascii="黑体" w:hAnsi="宋体" w:eastAsia="黑体" w:cs="黑体"/>
          <w:b w:val="0"/>
          <w:bCs w:val="0"/>
          <w:color w:val="auto"/>
          <w:kern w:val="0"/>
          <w:sz w:val="32"/>
          <w:szCs w:val="32"/>
          <w:shd w:val="clear" w:fill="FFFFFF"/>
          <w:lang w:val="en-US" w:eastAsia="zh-CN" w:bidi="ar"/>
        </w:rPr>
        <w:t>第四十四条</w:t>
      </w:r>
      <w:r>
        <w:rPr>
          <w:rFonts w:hint="eastAsia" w:ascii="Times New Roman" w:hAnsi="Times New Roman" w:eastAsia="黑体" w:cs="Times New Roman"/>
          <w:b w:val="0"/>
          <w:bCs w:val="0"/>
          <w:color w:val="auto"/>
          <w:kern w:val="0"/>
          <w:sz w:val="32"/>
          <w:szCs w:val="32"/>
          <w:shd w:val="clear" w:fill="FFFFFF"/>
          <w:lang w:val="en-US" w:eastAsia="zh-CN" w:bidi="ar"/>
        </w:rPr>
        <w:t xml:space="preserve"> </w:t>
      </w:r>
      <w:r>
        <w:rPr>
          <w:rFonts w:hint="eastAsia" w:ascii="仿宋_GB2312" w:hAnsi="仿宋_GB2312" w:eastAsia="仿宋_GB2312" w:cs="仿宋_GB2312"/>
          <w:b w:val="0"/>
          <w:bCs w:val="0"/>
          <w:color w:val="auto"/>
          <w:kern w:val="2"/>
          <w:sz w:val="32"/>
          <w:szCs w:val="32"/>
          <w:shd w:val="clear" w:fill="FFFFFF"/>
          <w:lang w:val="en-US" w:eastAsia="zh-CN" w:bidi="ar"/>
        </w:rPr>
        <w:t>各级医疗保障部门应建立举报投诉、信息披露、内部控制、欺诈防范等监督管理机制，加强对医疗保障经办机构、委托经办机构、长护服务机构，以及护理人员、参保人员、评估人员的监督检查，确保长护险基金平稳运行和安全有效。</w:t>
      </w:r>
    </w:p>
    <w:p w14:paraId="7D7B3F4A">
      <w:pPr>
        <w:keepNext w:val="0"/>
        <w:keepLines w:val="0"/>
        <w:pageBreakBefore w:val="0"/>
        <w:widowControl w:val="0"/>
        <w:suppressLineNumbers w:val="0"/>
        <w:shd w:val="clear" w:fill="FFFFFF"/>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32"/>
          <w:shd w:val="clear" w:fill="FFFFFF"/>
        </w:rPr>
      </w:pPr>
      <w:r>
        <w:rPr>
          <w:rFonts w:hint="eastAsia" w:ascii="黑体" w:hAnsi="宋体" w:eastAsia="黑体" w:cs="黑体"/>
          <w:b w:val="0"/>
          <w:bCs w:val="0"/>
          <w:color w:val="auto"/>
          <w:kern w:val="0"/>
          <w:sz w:val="32"/>
          <w:szCs w:val="32"/>
          <w:shd w:val="clear" w:fill="FFFFFF"/>
          <w:lang w:val="en-US" w:eastAsia="zh-CN" w:bidi="ar"/>
        </w:rPr>
        <w:t>第四十五条</w:t>
      </w:r>
      <w:r>
        <w:rPr>
          <w:rFonts w:hint="eastAsia" w:ascii="Times New Roman" w:hAnsi="Times New Roman" w:eastAsia="黑体" w:cs="Times New Roman"/>
          <w:b w:val="0"/>
          <w:bCs w:val="0"/>
          <w:color w:val="auto"/>
          <w:kern w:val="0"/>
          <w:sz w:val="32"/>
          <w:szCs w:val="32"/>
          <w:shd w:val="clear" w:fill="FFFFFF"/>
          <w:lang w:val="en-US" w:eastAsia="zh-CN" w:bidi="ar"/>
        </w:rPr>
        <w:t xml:space="preserve"> </w:t>
      </w:r>
      <w:r>
        <w:rPr>
          <w:rFonts w:hint="eastAsia" w:ascii="仿宋_GB2312" w:hAnsi="仿宋_GB2312" w:eastAsia="仿宋_GB2312" w:cs="仿宋_GB2312"/>
          <w:b w:val="0"/>
          <w:bCs w:val="0"/>
          <w:color w:val="auto"/>
          <w:kern w:val="2"/>
          <w:sz w:val="32"/>
          <w:szCs w:val="32"/>
          <w:shd w:val="clear" w:fill="FFFFFF"/>
          <w:lang w:val="en-US" w:eastAsia="zh-CN" w:bidi="ar"/>
        </w:rPr>
        <w:t>医疗保障经办机构发现参保人员违规的，可以采取暂停联网结算、暂停或取消待遇享受等措施，并将有关参保人员违规信息推送至长护险定点评估机构和长护服务机构。涉及行政处罚的，移交医疗保障行政部门，涉嫌犯罪的，移送司法机关。</w:t>
      </w:r>
    </w:p>
    <w:p w14:paraId="6A623752">
      <w:pPr>
        <w:keepNext w:val="0"/>
        <w:keepLines w:val="0"/>
        <w:pageBreakBefore w:val="0"/>
        <w:widowControl w:val="0"/>
        <w:suppressLineNumbers w:val="0"/>
        <w:shd w:val="clear" w:fill="FFFFFF"/>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32"/>
          <w:shd w:val="clear" w:fill="FFFFFF"/>
        </w:rPr>
      </w:pPr>
      <w:r>
        <w:rPr>
          <w:rFonts w:hint="eastAsia" w:ascii="黑体" w:hAnsi="宋体" w:eastAsia="黑体" w:cs="黑体"/>
          <w:b w:val="0"/>
          <w:bCs w:val="0"/>
          <w:color w:val="auto"/>
          <w:kern w:val="0"/>
          <w:sz w:val="32"/>
          <w:szCs w:val="32"/>
          <w:shd w:val="clear" w:fill="FFFFFF"/>
          <w:lang w:val="en-US" w:eastAsia="zh-CN" w:bidi="ar"/>
        </w:rPr>
        <w:t>第四十六条</w:t>
      </w:r>
      <w:r>
        <w:rPr>
          <w:rFonts w:hint="eastAsia" w:ascii="仿宋_GB2312" w:hAnsi="仿宋_GB2312" w:eastAsia="仿宋_GB2312" w:cs="仿宋_GB2312"/>
          <w:b w:val="0"/>
          <w:bCs w:val="0"/>
          <w:color w:val="auto"/>
          <w:kern w:val="0"/>
          <w:sz w:val="32"/>
          <w:szCs w:val="32"/>
          <w:shd w:val="clear" w:fill="FFFFFF"/>
          <w:lang w:val="en-US" w:eastAsia="zh-CN" w:bidi="ar"/>
        </w:rPr>
        <w:t xml:space="preserve"> </w:t>
      </w:r>
      <w:r>
        <w:rPr>
          <w:rFonts w:hint="eastAsia" w:ascii="仿宋_GB2312" w:hAnsi="仿宋_GB2312" w:eastAsia="仿宋_GB2312" w:cs="仿宋_GB2312"/>
          <w:b w:val="0"/>
          <w:bCs w:val="0"/>
          <w:color w:val="auto"/>
          <w:kern w:val="2"/>
          <w:sz w:val="32"/>
          <w:szCs w:val="32"/>
          <w:shd w:val="clear" w:fill="FFFFFF"/>
          <w:lang w:val="en-US" w:eastAsia="zh-CN" w:bidi="ar"/>
        </w:rPr>
        <w:t>医疗保障行政部门通过实地检查、抽查、智能监控、大数据分析等方式对定点评估机构评估行为、协议履行情况以及长护服务机构的协议履约情况、长护险基金使用情况等进行监督。发现存在违规行为的，由医疗保障经办部门追回违规费用，按服务协议及时处理；涉及行政处罚的，移交医疗保障行政部门，涉嫌犯罪的，移送司法机关追究刑事责任。</w:t>
      </w:r>
    </w:p>
    <w:p w14:paraId="3C345506">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3200" w:firstLineChars="1000"/>
        <w:jc w:val="both"/>
        <w:textAlignment w:val="auto"/>
        <w:outlineLvl w:val="0"/>
        <w:rPr>
          <w:rFonts w:hint="eastAsia" w:ascii="仿宋_GB2312" w:hAnsi="仿宋_GB2312" w:eastAsia="仿宋_GB2312" w:cs="仿宋_GB2312"/>
          <w:b w:val="0"/>
          <w:bCs w:val="0"/>
          <w:color w:val="auto"/>
          <w:kern w:val="0"/>
          <w:sz w:val="32"/>
          <w:szCs w:val="32"/>
          <w:shd w:val="clear" w:fill="FFFFFF"/>
          <w:lang w:val="en-US" w:eastAsia="zh-CN" w:bidi="ar"/>
        </w:rPr>
      </w:pPr>
    </w:p>
    <w:p w14:paraId="49EAAB00">
      <w:pPr>
        <w:pStyle w:val="4"/>
        <w:keepNext w:val="0"/>
        <w:keepLines w:val="0"/>
        <w:pageBreakBefore w:val="0"/>
        <w:widowControl/>
        <w:suppressLineNumbers w:val="0"/>
        <w:kinsoku/>
        <w:wordWrap w:val="0"/>
        <w:overflowPunct/>
        <w:topLinePunct w:val="0"/>
        <w:autoSpaceDN/>
        <w:bidi w:val="0"/>
        <w:snapToGrid/>
        <w:spacing w:before="0" w:beforeAutospacing="0" w:after="0" w:afterAutospacing="0" w:line="560" w:lineRule="exact"/>
        <w:ind w:left="0" w:right="0" w:firstLine="3200" w:firstLineChars="1000"/>
        <w:jc w:val="both"/>
        <w:textAlignment w:val="auto"/>
        <w:outlineLvl w:val="0"/>
        <w:rPr>
          <w:rFonts w:hint="default" w:ascii="Times New Roman" w:hAnsi="Times New Roman" w:eastAsia="黑体" w:cs="Times New Roman"/>
          <w:b w:val="0"/>
          <w:bCs w:val="0"/>
          <w:color w:val="auto"/>
          <w:kern w:val="0"/>
          <w:sz w:val="32"/>
          <w:szCs w:val="32"/>
          <w:shd w:val="clear" w:fill="FFFFFF"/>
        </w:rPr>
      </w:pPr>
      <w:r>
        <w:rPr>
          <w:rFonts w:hint="eastAsia" w:ascii="黑体" w:hAnsi="宋体" w:eastAsia="黑体" w:cs="黑体"/>
          <w:b w:val="0"/>
          <w:bCs w:val="0"/>
          <w:color w:val="auto"/>
          <w:kern w:val="0"/>
          <w:sz w:val="32"/>
          <w:szCs w:val="32"/>
          <w:shd w:val="clear" w:fill="FFFFFF"/>
          <w:lang w:val="en-US" w:eastAsia="zh-CN" w:bidi="ar"/>
        </w:rPr>
        <w:t>第八章</w:t>
      </w:r>
      <w:r>
        <w:rPr>
          <w:rFonts w:hint="default" w:ascii="Times New Roman" w:hAnsi="Times New Roman" w:eastAsia="黑体" w:cs="Times New Roman"/>
          <w:b w:val="0"/>
          <w:bCs w:val="0"/>
          <w:color w:val="auto"/>
          <w:kern w:val="0"/>
          <w:sz w:val="32"/>
          <w:szCs w:val="32"/>
          <w:shd w:val="clear" w:fill="FFFFFF"/>
          <w:lang w:val="en-US" w:eastAsia="zh-CN" w:bidi="ar"/>
        </w:rPr>
        <w:t xml:space="preserve"> </w:t>
      </w:r>
      <w:r>
        <w:rPr>
          <w:rFonts w:hint="eastAsia" w:ascii="黑体" w:hAnsi="宋体" w:eastAsia="黑体" w:cs="黑体"/>
          <w:b w:val="0"/>
          <w:bCs w:val="0"/>
          <w:color w:val="auto"/>
          <w:kern w:val="0"/>
          <w:sz w:val="32"/>
          <w:szCs w:val="32"/>
          <w:shd w:val="clear" w:fill="FFFFFF"/>
          <w:lang w:val="en-US" w:eastAsia="zh-CN" w:bidi="ar"/>
        </w:rPr>
        <w:t>附则</w:t>
      </w:r>
    </w:p>
    <w:p w14:paraId="34A04DCB">
      <w:pPr>
        <w:keepNext w:val="0"/>
        <w:keepLines w:val="0"/>
        <w:pageBreakBefore w:val="0"/>
        <w:widowControl w:val="0"/>
        <w:suppressLineNumbers w:val="0"/>
        <w:shd w:val="clear" w:fill="FFFFFF"/>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黑体" w:hAnsi="宋体" w:eastAsia="黑体" w:cs="黑体"/>
          <w:b w:val="0"/>
          <w:bCs w:val="0"/>
          <w:color w:val="auto"/>
          <w:kern w:val="0"/>
          <w:sz w:val="32"/>
          <w:szCs w:val="32"/>
          <w:shd w:val="clear" w:fill="FFFFFF"/>
          <w:lang w:val="en-US" w:eastAsia="zh-CN" w:bidi="ar"/>
        </w:rPr>
      </w:pPr>
    </w:p>
    <w:p w14:paraId="1C9A2F0F">
      <w:pPr>
        <w:keepNext w:val="0"/>
        <w:keepLines w:val="0"/>
        <w:pageBreakBefore w:val="0"/>
        <w:widowControl w:val="0"/>
        <w:suppressLineNumbers w:val="0"/>
        <w:shd w:val="clear" w:fill="FFFFFF"/>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shd w:val="clear" w:fill="FFFFFF"/>
        </w:rPr>
      </w:pPr>
      <w:r>
        <w:rPr>
          <w:rFonts w:hint="eastAsia" w:ascii="黑体" w:hAnsi="宋体" w:eastAsia="黑体" w:cs="黑体"/>
          <w:b w:val="0"/>
          <w:bCs w:val="0"/>
          <w:color w:val="auto"/>
          <w:kern w:val="0"/>
          <w:sz w:val="32"/>
          <w:szCs w:val="32"/>
          <w:shd w:val="clear" w:fill="FFFFFF"/>
          <w:lang w:val="en-US" w:eastAsia="zh-CN" w:bidi="ar"/>
        </w:rPr>
        <w:t>第四十七条</w:t>
      </w:r>
      <w:r>
        <w:rPr>
          <w:rFonts w:hint="eastAsia" w:ascii="Times New Roman" w:hAnsi="Times New Roman" w:eastAsia="黑体" w:cs="Times New Roman"/>
          <w:b w:val="0"/>
          <w:bCs w:val="0"/>
          <w:color w:val="auto"/>
          <w:kern w:val="0"/>
          <w:sz w:val="32"/>
          <w:szCs w:val="32"/>
          <w:shd w:val="clear" w:fill="FFFFFF"/>
          <w:lang w:val="en-US" w:eastAsia="zh-CN" w:bidi="ar"/>
        </w:rPr>
        <w:t xml:space="preserve"> </w:t>
      </w:r>
      <w:r>
        <w:rPr>
          <w:rFonts w:hint="eastAsia" w:ascii="仿宋_GB2312" w:hAnsi="仿宋_GB2312" w:eastAsia="仿宋_GB2312" w:cs="仿宋_GB2312"/>
          <w:b w:val="0"/>
          <w:bCs w:val="0"/>
          <w:color w:val="auto"/>
          <w:kern w:val="0"/>
          <w:sz w:val="32"/>
          <w:szCs w:val="32"/>
          <w:shd w:val="clear" w:fill="FFFFFF"/>
          <w:lang w:val="en-US" w:eastAsia="zh-CN" w:bidi="ar"/>
        </w:rPr>
        <w:t>建立我市长护险联席会议制度，由市医疗保障部门牵头，成员由发改、民政、财政、人力资源社会保障、卫健、税务和残联等部门组成，定期对我市长护险制度试点运行中存在的问题进行协调研究。</w:t>
      </w:r>
    </w:p>
    <w:p w14:paraId="48DCEE6B">
      <w:pPr>
        <w:keepNext w:val="0"/>
        <w:keepLines w:val="0"/>
        <w:pageBreakBefore w:val="0"/>
        <w:widowControl w:val="0"/>
        <w:suppressLineNumbers w:val="0"/>
        <w:shd w:val="clear" w:fill="FFFFFF"/>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shd w:val="clear" w:fill="FFFFFF"/>
        </w:rPr>
      </w:pPr>
      <w:r>
        <w:rPr>
          <w:rFonts w:hint="eastAsia" w:ascii="黑体" w:hAnsi="宋体" w:eastAsia="黑体" w:cs="黑体"/>
          <w:b w:val="0"/>
          <w:bCs w:val="0"/>
          <w:color w:val="auto"/>
          <w:kern w:val="0"/>
          <w:sz w:val="32"/>
          <w:szCs w:val="32"/>
          <w:shd w:val="clear" w:fill="FFFFFF"/>
          <w:lang w:val="en-US" w:eastAsia="zh-CN" w:bidi="ar"/>
        </w:rPr>
        <w:t>第四十八条</w:t>
      </w:r>
      <w:r>
        <w:rPr>
          <w:rFonts w:hint="eastAsia" w:ascii="Times New Roman" w:hAnsi="Times New Roman" w:eastAsia="黑体" w:cs="Times New Roman"/>
          <w:b w:val="0"/>
          <w:bCs w:val="0"/>
          <w:color w:val="auto"/>
          <w:kern w:val="0"/>
          <w:sz w:val="32"/>
          <w:szCs w:val="32"/>
          <w:shd w:val="clear" w:fill="FFFFFF"/>
          <w:lang w:val="en-US" w:eastAsia="zh-CN" w:bidi="ar"/>
        </w:rPr>
        <w:t xml:space="preserve"> </w:t>
      </w:r>
      <w:r>
        <w:rPr>
          <w:rFonts w:hint="eastAsia" w:ascii="仿宋_GB2312" w:hAnsi="仿宋_GB2312" w:eastAsia="仿宋_GB2312" w:cs="仿宋_GB2312"/>
          <w:b w:val="0"/>
          <w:bCs w:val="0"/>
          <w:color w:val="auto"/>
          <w:kern w:val="0"/>
          <w:sz w:val="32"/>
          <w:szCs w:val="32"/>
          <w:shd w:val="clear" w:fill="FFFFFF"/>
          <w:lang w:val="en-US" w:eastAsia="zh-CN" w:bidi="ar"/>
        </w:rPr>
        <w:t>本办法相关的配套政策，由市医疗保障行政部门会同有关部门另行制定。</w:t>
      </w:r>
    </w:p>
    <w:p w14:paraId="563F5455">
      <w:pPr>
        <w:keepNext w:val="0"/>
        <w:keepLines w:val="0"/>
        <w:pageBreakBefore w:val="0"/>
        <w:widowControl w:val="0"/>
        <w:suppressLineNumbers w:val="0"/>
        <w:shd w:val="clear" w:fill="FFFFFF"/>
        <w:kinsoku/>
        <w:overflowPunct/>
        <w:topLinePunct w:val="0"/>
        <w:autoSpaceDN/>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shd w:val="clear" w:fill="FFFFFF"/>
        </w:rPr>
      </w:pPr>
      <w:r>
        <w:rPr>
          <w:rFonts w:hint="eastAsia" w:ascii="黑体" w:hAnsi="宋体" w:eastAsia="黑体" w:cs="黑体"/>
          <w:b w:val="0"/>
          <w:bCs w:val="0"/>
          <w:color w:val="auto"/>
          <w:kern w:val="0"/>
          <w:sz w:val="32"/>
          <w:szCs w:val="32"/>
          <w:shd w:val="clear" w:fill="FFFFFF"/>
          <w:lang w:val="en-US" w:eastAsia="zh-CN" w:bidi="ar"/>
        </w:rPr>
        <w:t>第四十九条</w:t>
      </w:r>
      <w:r>
        <w:rPr>
          <w:rFonts w:hint="eastAsia" w:ascii="Times New Roman" w:hAnsi="Times New Roman" w:eastAsia="黑体" w:cs="Times New Roman"/>
          <w:b w:val="0"/>
          <w:bCs w:val="0"/>
          <w:color w:val="auto"/>
          <w:kern w:val="0"/>
          <w:sz w:val="32"/>
          <w:szCs w:val="32"/>
          <w:shd w:val="clear" w:fill="FFFFFF"/>
          <w:lang w:val="en-US" w:eastAsia="zh-CN" w:bidi="ar"/>
        </w:rPr>
        <w:t xml:space="preserve"> </w:t>
      </w:r>
      <w:r>
        <w:rPr>
          <w:rFonts w:hint="eastAsia" w:ascii="仿宋_GB2312" w:hAnsi="仿宋_GB2312" w:eastAsia="仿宋_GB2312" w:cs="仿宋_GB2312"/>
          <w:b w:val="0"/>
          <w:bCs w:val="0"/>
          <w:color w:val="auto"/>
          <w:kern w:val="0"/>
          <w:sz w:val="32"/>
          <w:szCs w:val="32"/>
          <w:shd w:val="clear" w:fill="FFFFFF"/>
          <w:lang w:val="en-US" w:eastAsia="zh-CN" w:bidi="ar"/>
        </w:rPr>
        <w:t>本办法执行过程中，</w:t>
      </w:r>
      <w:r>
        <w:rPr>
          <w:rFonts w:hint="eastAsia" w:ascii="仿宋_GB2312" w:hAnsi="仿宋_GB2312" w:eastAsia="仿宋_GB2312" w:cs="仿宋_GB2312"/>
          <w:b w:val="0"/>
          <w:bCs w:val="0"/>
          <w:color w:val="auto"/>
          <w:kern w:val="2"/>
          <w:sz w:val="32"/>
          <w:szCs w:val="32"/>
          <w:shd w:val="clear" w:fill="FFFFFF"/>
          <w:lang w:val="en-US" w:eastAsia="zh-CN" w:bidi="ar"/>
        </w:rPr>
        <w:t>因</w:t>
      </w:r>
      <w:r>
        <w:rPr>
          <w:rFonts w:hint="eastAsia" w:ascii="仿宋_GB2312" w:hAnsi="仿宋_GB2312" w:eastAsia="仿宋_GB2312" w:cs="仿宋_GB2312"/>
          <w:b w:val="0"/>
          <w:bCs w:val="0"/>
          <w:color w:val="auto"/>
          <w:kern w:val="0"/>
          <w:sz w:val="32"/>
          <w:szCs w:val="32"/>
          <w:shd w:val="clear" w:fill="FFFFFF"/>
          <w:lang w:val="en-US" w:eastAsia="zh-CN" w:bidi="ar"/>
        </w:rPr>
        <w:t>经济社会发展水平、基金收支结余情况、照护服务成本变化等因素，需对长护险筹资标准、保障范围、待遇标准、支付范围等进行调整的，由市医疗保障行政部门制定调整方案，报市政府批准后执行。</w:t>
      </w:r>
    </w:p>
    <w:p w14:paraId="21F3CB81">
      <w:pPr>
        <w:keepNext w:val="0"/>
        <w:keepLines w:val="0"/>
        <w:pageBreakBefore w:val="0"/>
        <w:widowControl w:val="0"/>
        <w:suppressLineNumbers w:val="0"/>
        <w:shd w:val="clear" w:fill="FFFFFF"/>
        <w:kinsoku/>
        <w:overflowPunct/>
        <w:topLinePunct w:val="0"/>
        <w:autoSpaceDN/>
        <w:bidi w:val="0"/>
        <w:snapToGrid/>
        <w:spacing w:before="0" w:beforeAutospacing="0" w:after="0" w:afterAutospacing="0" w:line="560" w:lineRule="exact"/>
        <w:ind w:left="0" w:right="0" w:firstLine="640" w:firstLineChars="200"/>
        <w:jc w:val="both"/>
        <w:textAlignment w:val="auto"/>
        <w:outlineLvl w:val="1"/>
        <w:rPr>
          <w:rFonts w:hint="default" w:ascii="Times New Roman" w:hAnsi="Times New Roman" w:eastAsia="仿宋_GB2312" w:cs="Times New Roman"/>
          <w:b w:val="0"/>
          <w:bCs w:val="0"/>
          <w:color w:val="auto"/>
          <w:kern w:val="0"/>
          <w:sz w:val="32"/>
          <w:szCs w:val="32"/>
          <w:shd w:val="clear" w:fill="FFFFFF"/>
        </w:rPr>
      </w:pPr>
      <w:r>
        <w:rPr>
          <w:rFonts w:hint="eastAsia" w:ascii="黑体" w:hAnsi="宋体" w:eastAsia="黑体" w:cs="黑体"/>
          <w:b w:val="0"/>
          <w:bCs w:val="0"/>
          <w:color w:val="auto"/>
          <w:kern w:val="0"/>
          <w:sz w:val="32"/>
          <w:szCs w:val="32"/>
          <w:shd w:val="clear" w:fill="FFFFFF"/>
          <w:lang w:val="en-US" w:eastAsia="zh-CN" w:bidi="ar"/>
        </w:rPr>
        <w:t>第五十条</w:t>
      </w:r>
      <w:r>
        <w:rPr>
          <w:rFonts w:hint="eastAsia" w:ascii="Times New Roman" w:hAnsi="Times New Roman" w:eastAsia="黑体" w:cs="Times New Roman"/>
          <w:b w:val="0"/>
          <w:bCs w:val="0"/>
          <w:color w:val="auto"/>
          <w:kern w:val="0"/>
          <w:sz w:val="32"/>
          <w:szCs w:val="32"/>
          <w:shd w:val="clear" w:fill="FFFFFF"/>
          <w:lang w:val="en-US" w:eastAsia="zh-CN" w:bidi="ar"/>
        </w:rPr>
        <w:t xml:space="preserve"> </w:t>
      </w:r>
      <w:r>
        <w:rPr>
          <w:rFonts w:hint="eastAsia" w:ascii="仿宋_GB2312" w:hAnsi="仿宋_GB2312" w:eastAsia="仿宋_GB2312" w:cs="仿宋_GB2312"/>
          <w:b w:val="0"/>
          <w:bCs w:val="0"/>
          <w:color w:val="auto"/>
          <w:kern w:val="0"/>
          <w:sz w:val="32"/>
          <w:szCs w:val="32"/>
          <w:shd w:val="clear" w:fill="FFFFFF"/>
          <w:lang w:val="en-US" w:eastAsia="zh-CN" w:bidi="ar"/>
        </w:rPr>
        <w:t>长护险经办管理服务规程另行制定。</w:t>
      </w:r>
    </w:p>
    <w:p w14:paraId="77D3E2CD">
      <w:pPr>
        <w:widowControl w:val="0"/>
        <w:shd w:val="clear" w:fill="FFFFFF"/>
        <w:ind w:firstLine="640" w:firstLineChars="200"/>
        <w:jc w:val="both"/>
        <w:rPr>
          <w:rFonts w:hint="eastAsia" w:ascii="仿宋_GB2312" w:hAnsi="仿宋_GB2312" w:eastAsia="仿宋_GB2312" w:cs="仿宋_GB2312"/>
          <w:color w:val="auto"/>
          <w:sz w:val="32"/>
          <w:szCs w:val="32"/>
        </w:rPr>
      </w:pPr>
      <w:r>
        <w:rPr>
          <w:rFonts w:hint="eastAsia" w:ascii="黑体" w:hAnsi="宋体" w:eastAsia="黑体" w:cs="黑体"/>
          <w:b w:val="0"/>
          <w:bCs w:val="0"/>
          <w:color w:val="auto"/>
          <w:kern w:val="0"/>
          <w:sz w:val="32"/>
          <w:szCs w:val="32"/>
          <w:shd w:val="clear" w:fill="FFFFFF"/>
          <w:lang w:val="en-US" w:eastAsia="zh-CN" w:bidi="ar"/>
        </w:rPr>
        <w:t>第五十一条</w:t>
      </w:r>
      <w:r>
        <w:rPr>
          <w:rFonts w:hint="eastAsia" w:ascii="Times New Roman" w:hAnsi="Times New Roman" w:eastAsia="黑体" w:cs="Times New Roman"/>
          <w:b w:val="0"/>
          <w:bCs w:val="0"/>
          <w:color w:val="auto"/>
          <w:kern w:val="0"/>
          <w:sz w:val="32"/>
          <w:szCs w:val="32"/>
          <w:shd w:val="clear" w:fill="FFFFFF"/>
          <w:lang w:val="en-US" w:eastAsia="zh-CN" w:bidi="ar"/>
        </w:rPr>
        <w:t xml:space="preserve"> </w:t>
      </w:r>
      <w:r>
        <w:rPr>
          <w:rFonts w:hint="eastAsia" w:ascii="仿宋_GB2312" w:hAnsi="仿宋_GB2312" w:eastAsia="仿宋_GB2312" w:cs="仿宋_GB2312"/>
          <w:b w:val="0"/>
          <w:bCs w:val="0"/>
          <w:color w:val="auto"/>
          <w:kern w:val="0"/>
          <w:sz w:val="32"/>
          <w:szCs w:val="32"/>
          <w:shd w:val="clear" w:fill="FFFFFF"/>
          <w:lang w:val="en-US" w:eastAsia="zh-CN" w:bidi="ar"/>
        </w:rPr>
        <w:t>本办法自2026年  月 日起施行，</w:t>
      </w:r>
      <w:r>
        <w:rPr>
          <w:rFonts w:hint="eastAsia" w:ascii="仿宋_GB2312" w:hAnsi="仿宋_GB2312" w:eastAsia="仿宋_GB2312" w:cs="仿宋_GB2312"/>
          <w:b w:val="0"/>
          <w:bCs w:val="0"/>
          <w:color w:val="auto"/>
          <w:kern w:val="0"/>
          <w:sz w:val="32"/>
          <w:szCs w:val="32"/>
          <w:highlight w:val="none"/>
          <w:shd w:val="clear" w:fill="FFFFFF"/>
          <w:lang w:val="en-US" w:eastAsia="zh-CN" w:bidi="ar"/>
        </w:rPr>
        <w:t>有效期至2029年   月   日。</w:t>
      </w:r>
      <w:r>
        <w:rPr>
          <w:rFonts w:hint="eastAsia" w:ascii="仿宋_GB2312" w:hAnsi="仿宋_GB2312" w:eastAsia="仿宋_GB2312" w:cs="仿宋_GB2312"/>
          <w:b w:val="0"/>
          <w:bCs w:val="0"/>
          <w:color w:val="auto"/>
          <w:kern w:val="0"/>
          <w:sz w:val="32"/>
          <w:szCs w:val="32"/>
          <w:shd w:val="clear" w:fill="FFFFFF"/>
          <w:lang w:val="en-US" w:eastAsia="zh-CN" w:bidi="ar"/>
        </w:rPr>
        <w:t>本办法实施后，国家、省另有规定的，从其规定。</w:t>
      </w:r>
    </w:p>
    <w:sectPr>
      <w:footerReference r:id="rId3" w:type="default"/>
      <w:pgSz w:w="11906" w:h="16838"/>
      <w:pgMar w:top="2211" w:right="1531" w:bottom="187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D0BB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B2D35">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BB2D35">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608D1"/>
    <w:multiLevelType w:val="multilevel"/>
    <w:tmpl w:val="57E608D1"/>
    <w:lvl w:ilvl="0" w:tentative="0">
      <w:start w:val="4"/>
      <w:numFmt w:val="chineseCounting"/>
      <w:suff w:val="nothing"/>
      <w:lvlText w:val="（%1）"/>
      <w:lvlJc w:val="left"/>
      <w:pPr>
        <w:ind w:left="0" w:firstLine="0"/>
      </w:pPr>
      <w:rPr>
        <w:rFonts w:hint="eastAsia" w:ascii="仿宋" w:hAnsi="仿宋" w:eastAsia="仿宋" w:cs="仿宋"/>
        <w:sz w:val="32"/>
        <w:szCs w:val="32"/>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e">
    <w15:presenceInfo w15:providerId="WPS Office" w15:userId="72726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066B61"/>
    <w:rsid w:val="02780DB8"/>
    <w:rsid w:val="02AB3B8E"/>
    <w:rsid w:val="05616943"/>
    <w:rsid w:val="065906F6"/>
    <w:rsid w:val="07593D76"/>
    <w:rsid w:val="08787F64"/>
    <w:rsid w:val="0B5C5BE2"/>
    <w:rsid w:val="0DBC505E"/>
    <w:rsid w:val="103B30B4"/>
    <w:rsid w:val="10541FBA"/>
    <w:rsid w:val="11F061A0"/>
    <w:rsid w:val="14E05195"/>
    <w:rsid w:val="153D47FB"/>
    <w:rsid w:val="15D1541F"/>
    <w:rsid w:val="17A67218"/>
    <w:rsid w:val="191E3943"/>
    <w:rsid w:val="1B6950AE"/>
    <w:rsid w:val="1CF42F22"/>
    <w:rsid w:val="1ED153DC"/>
    <w:rsid w:val="1F507803"/>
    <w:rsid w:val="1F8719A7"/>
    <w:rsid w:val="20547378"/>
    <w:rsid w:val="21D6028F"/>
    <w:rsid w:val="21E845DA"/>
    <w:rsid w:val="23270231"/>
    <w:rsid w:val="25276E09"/>
    <w:rsid w:val="2677273A"/>
    <w:rsid w:val="27C47FCA"/>
    <w:rsid w:val="283E4B96"/>
    <w:rsid w:val="2A652D01"/>
    <w:rsid w:val="2A88659C"/>
    <w:rsid w:val="2C932FD6"/>
    <w:rsid w:val="2FBC2844"/>
    <w:rsid w:val="31A94A8F"/>
    <w:rsid w:val="35066B61"/>
    <w:rsid w:val="36211653"/>
    <w:rsid w:val="3C986552"/>
    <w:rsid w:val="3FB84D6B"/>
    <w:rsid w:val="3FEB51AC"/>
    <w:rsid w:val="40660BF6"/>
    <w:rsid w:val="4354000A"/>
    <w:rsid w:val="45A478B8"/>
    <w:rsid w:val="46AF05B5"/>
    <w:rsid w:val="4B142D04"/>
    <w:rsid w:val="4B9F21A0"/>
    <w:rsid w:val="4BAD5A0B"/>
    <w:rsid w:val="4EAD7AD0"/>
    <w:rsid w:val="50DE6667"/>
    <w:rsid w:val="52BE22AC"/>
    <w:rsid w:val="535B3F9E"/>
    <w:rsid w:val="594D1592"/>
    <w:rsid w:val="5AB50438"/>
    <w:rsid w:val="5D335644"/>
    <w:rsid w:val="5D50269A"/>
    <w:rsid w:val="5E587A58"/>
    <w:rsid w:val="619012B7"/>
    <w:rsid w:val="64616F3B"/>
    <w:rsid w:val="65ED6CD8"/>
    <w:rsid w:val="66A524D9"/>
    <w:rsid w:val="67795A9C"/>
    <w:rsid w:val="6B1271E1"/>
    <w:rsid w:val="6D0112BB"/>
    <w:rsid w:val="6EE61BF5"/>
    <w:rsid w:val="6FEC6252"/>
    <w:rsid w:val="75377F70"/>
    <w:rsid w:val="75F920DA"/>
    <w:rsid w:val="781D7DF2"/>
    <w:rsid w:val="79AB41AB"/>
    <w:rsid w:val="7A1C14E2"/>
    <w:rsid w:val="7D3C1384"/>
    <w:rsid w:val="7D464446"/>
    <w:rsid w:val="7D800429"/>
    <w:rsid w:val="7E97161A"/>
    <w:rsid w:val="7F1833DE"/>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character" w:customStyle="1" w:styleId="7">
    <w:name w:val="15"/>
    <w:basedOn w:val="6"/>
    <w:qFormat/>
    <w:uiPriority w:val="0"/>
    <w:rPr>
      <w:rFonts w:hint="default" w:ascii="Times New Roman" w:hAnsi="Times New Roman" w:cs="Times New Roman"/>
      <w:b/>
    </w:rPr>
  </w:style>
  <w:style w:type="paragraph" w:customStyle="1" w:styleId="8">
    <w:name w:val="Default"/>
    <w:hidden/>
    <w:qFormat/>
    <w:uiPriority w:val="0"/>
    <w:pPr>
      <w:keepNext w:val="0"/>
      <w:keepLines w:val="0"/>
      <w:widowControl w:val="0"/>
      <w:suppressLineNumbers w:val="0"/>
      <w:autoSpaceDE w:val="0"/>
      <w:autoSpaceDN w:val="0"/>
      <w:adjustRightInd w:val="0"/>
      <w:spacing w:before="0" w:beforeAutospacing="0" w:after="0" w:afterAutospacing="0"/>
      <w:ind w:left="0" w:right="0"/>
      <w:jc w:val="both"/>
    </w:pPr>
    <w:rPr>
      <w:rFonts w:hint="eastAsia" w:ascii="微软雅黑" w:hAnsi="微软雅黑" w:eastAsia="微软雅黑" w:cs="Times New Roman"/>
      <w:color w:val="000000"/>
      <w:kern w:val="2"/>
      <w:sz w:val="24"/>
      <w:szCs w:val="24"/>
      <w:lang w:val="en-US" w:eastAsia="zh-CN" w:bidi="ar"/>
    </w:rPr>
  </w:style>
  <w:style w:type="character" w:customStyle="1" w:styleId="9">
    <w:name w:val="10"/>
    <w:basedOn w:val="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6465</Words>
  <Characters>6512</Characters>
  <Lines>1</Lines>
  <Paragraphs>1</Paragraphs>
  <TotalTime>64</TotalTime>
  <ScaleCrop>false</ScaleCrop>
  <LinksUpToDate>false</LinksUpToDate>
  <CharactersWithSpaces>6585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2025-05-29T07:57:00Z</dcterms:created>
  <dc:creator>吴娜</dc:creator>
  <cp:lastModifiedBy>lee</cp:lastModifiedBy>
  <cp:lastPrinted>2025-06-25T09:06:53Z</cp:lastPrinted>
  <dcterms:modified xsi:type="dcterms:W3CDTF">2025-06-25T09:09:18Z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EB82516EB3014B17A5891BD3306F23B4_13</vt:lpwstr>
  </property>
  <property fmtid="{D5CDD505-2E9C-101B-9397-08002B2CF9AE}" pid="4" name="KSOTemplateDocerSaveRecord">
    <vt:lpwstr>eyJoZGlkIjoiYmE3YTc3OWY5MzQ0NTg3MDk2NjYxYTg2YzgzMjc3YmMiLCJ1c2VySWQiOiIyMDg2MjY5NTMifQ==</vt:lpwstr>
  </property>
</Properties>
</file>