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394B9">
      <w:pPr>
        <w:spacing w:line="600" w:lineRule="exact"/>
        <w:jc w:val="center"/>
        <w:rPr>
          <w:rFonts w:hint="eastAsia" w:ascii="方正小标宋简体" w:hAnsi="方正小标宋简体" w:eastAsia="方正小标宋简体" w:cs="方正小标宋简体"/>
          <w:b/>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highlight w:val="none"/>
          <w14:textFill>
            <w14:solidFill>
              <w14:schemeClr w14:val="tx1"/>
            </w14:solidFill>
          </w14:textFill>
        </w:rPr>
        <w:t>佛山（云浮）产业转移工业园支持</w:t>
      </w:r>
      <w:r>
        <w:rPr>
          <w:rFonts w:hint="eastAsia" w:ascii="方正小标宋简体" w:hAnsi="方正小标宋简体" w:eastAsia="方正小标宋简体" w:cs="方正小标宋简体"/>
          <w:b/>
          <w:bCs/>
          <w:color w:val="000000" w:themeColor="text1"/>
          <w:sz w:val="44"/>
          <w:szCs w:val="44"/>
          <w:highlight w:val="none"/>
          <w:lang w:val="en-US" w:eastAsia="zh-CN"/>
          <w14:textFill>
            <w14:solidFill>
              <w14:schemeClr w14:val="tx1"/>
            </w14:solidFill>
          </w14:textFill>
        </w:rPr>
        <w:t>新能源</w:t>
      </w:r>
      <w:r>
        <w:rPr>
          <w:rFonts w:hint="eastAsia" w:ascii="方正小标宋简体" w:hAnsi="方正小标宋简体" w:eastAsia="方正小标宋简体" w:cs="方正小标宋简体"/>
          <w:b/>
          <w:bCs/>
          <w:color w:val="000000" w:themeColor="text1"/>
          <w:sz w:val="44"/>
          <w:szCs w:val="44"/>
          <w:highlight w:val="none"/>
          <w14:textFill>
            <w14:solidFill>
              <w14:schemeClr w14:val="tx1"/>
            </w14:solidFill>
          </w14:textFill>
        </w:rPr>
        <w:t>产业</w:t>
      </w:r>
    </w:p>
    <w:p w14:paraId="2A4B5876">
      <w:pPr>
        <w:spacing w:line="600" w:lineRule="exact"/>
        <w:jc w:val="center"/>
        <w:rPr>
          <w:rFonts w:hint="eastAsia" w:ascii="方正小标宋简体" w:hAnsi="方正小标宋简体" w:eastAsia="方正小标宋简体" w:cs="方正小标宋简体"/>
          <w:b/>
          <w:bCs/>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highlight w:val="none"/>
          <w14:textFill>
            <w14:solidFill>
              <w14:schemeClr w14:val="tx1"/>
            </w14:solidFill>
          </w14:textFill>
        </w:rPr>
        <w:t>高质量发展若干措施</w:t>
      </w:r>
    </w:p>
    <w:p w14:paraId="47C08B91">
      <w:pPr>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2548AF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为进一步推进落实《云浮市加快建设燃料电池汽车示范城市群示范点行动计划（2022-2025年）》，推动佛山（云浮）产业转移工业园（以下简称“园区”）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新能源产业发展，重点支持</w:t>
      </w:r>
      <w:r>
        <w:rPr>
          <w:rFonts w:hint="eastAsia" w:ascii="仿宋_GB2312" w:hAnsi="仿宋_GB2312" w:eastAsia="仿宋_GB2312" w:cs="仿宋_GB2312"/>
          <w:color w:val="000000" w:themeColor="text1"/>
          <w:sz w:val="32"/>
          <w:szCs w:val="32"/>
          <w:highlight w:val="none"/>
          <w14:textFill>
            <w14:solidFill>
              <w14:schemeClr w14:val="tx1"/>
            </w14:solidFill>
          </w14:textFill>
        </w:rPr>
        <w:t>氢能全产业链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、新能源汽车及零部件生产制造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高质量发展，打造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新能源</w:t>
      </w:r>
      <w:r>
        <w:rPr>
          <w:rFonts w:hint="eastAsia" w:ascii="仿宋_GB2312" w:hAnsi="仿宋_GB2312" w:eastAsia="仿宋_GB2312" w:cs="仿宋_GB2312"/>
          <w:color w:val="000000" w:themeColor="text1"/>
          <w:sz w:val="32"/>
          <w:szCs w:val="32"/>
          <w:highlight w:val="none"/>
          <w14:textFill>
            <w14:solidFill>
              <w14:schemeClr w14:val="tx1"/>
            </w14:solidFill>
          </w14:textFill>
        </w:rPr>
        <w:t>装备制造基地，结合园区实际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制定本措施。</w:t>
      </w:r>
    </w:p>
    <w:p w14:paraId="5D0626C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黑体" w:hAnsi="黑体" w:eastAsia="黑体" w:cs="黑体"/>
          <w:b w:val="0"/>
          <w:bCs/>
          <w:i w:val="0"/>
          <w:iCs w:val="0"/>
          <w:caps w:val="0"/>
          <w:color w:val="000000" w:themeColor="text1"/>
          <w:spacing w:val="0"/>
          <w:sz w:val="32"/>
          <w:szCs w:val="32"/>
          <w:highlight w:val="none"/>
          <w:shd w:val="clear" w:color="auto" w:fill="FFFFFF"/>
          <w:lang w:val="en-US" w:eastAsia="zh-CN"/>
          <w14:textFill>
            <w14:solidFill>
              <w14:schemeClr w14:val="tx1"/>
            </w14:solidFill>
          </w14:textFill>
        </w:rPr>
        <w:t>支持新能源全产业链生产制造项目</w:t>
      </w:r>
    </w:p>
    <w:p w14:paraId="655616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Times New Roman" w:eastAsia="楷体_GB2312" w:cs="Times New Roman"/>
          <w:b w:val="0"/>
          <w:bCs w:val="0"/>
          <w:i w:val="0"/>
          <w:iCs w:val="0"/>
          <w:caps w:val="0"/>
          <w:color w:val="000000" w:themeColor="text1"/>
          <w:spacing w:val="0"/>
          <w:sz w:val="32"/>
          <w:szCs w:val="32"/>
          <w:highlight w:val="none"/>
          <w:shd w:val="clear"/>
          <w:lang w:val="en-US" w:eastAsia="zh-CN"/>
          <w14:textFill>
            <w14:solidFill>
              <w14:schemeClr w14:val="tx1"/>
            </w14:solidFill>
          </w14:textFill>
        </w:rPr>
        <w:t>（一）</w:t>
      </w:r>
      <w:r>
        <w:rPr>
          <w:rFonts w:hint="eastAsia" w:ascii="楷体_GB2312" w:hAnsi="Times New Roman" w:eastAsia="楷体_GB2312" w:cs="Times New Roman"/>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支持氢能全产业链制造项目。</w:t>
      </w:r>
      <w:r>
        <w:rPr>
          <w:rFonts w:hint="eastAsia" w:ascii="仿宋_GB2312" w:hAnsi="仿宋_GB2312" w:eastAsia="仿宋_GB2312" w:cs="仿宋_GB2312"/>
          <w:bCs/>
          <w:color w:val="000000" w:themeColor="text1"/>
          <w:sz w:val="32"/>
          <w:szCs w:val="32"/>
          <w:highlight w:val="none"/>
          <w:shd w:val="clear" w:color="auto" w:fill="FFFFFF"/>
          <w14:textFill>
            <w14:solidFill>
              <w14:schemeClr w14:val="tx1"/>
            </w14:solidFill>
          </w14:textFill>
        </w:rPr>
        <w:t>对</w:t>
      </w:r>
      <w:r>
        <w:rPr>
          <w:rFonts w:hint="eastAsia" w:ascii="仿宋_GB2312" w:hAnsi="仿宋_GB2312" w:eastAsia="仿宋_GB2312" w:cs="仿宋_GB2312"/>
          <w:bCs/>
          <w:color w:val="000000" w:themeColor="text1"/>
          <w:sz w:val="32"/>
          <w:szCs w:val="32"/>
          <w:highlight w:val="none"/>
          <w:shd w:val="clear" w:color="auto" w:fill="FFFFFF"/>
          <w:lang w:eastAsia="zh-CN"/>
          <w14:textFill>
            <w14:solidFill>
              <w14:schemeClr w14:val="tx1"/>
            </w14:solidFill>
          </w14:textFill>
        </w:rPr>
        <w:t>氢能产业</w:t>
      </w:r>
      <w:r>
        <w:rPr>
          <w:rFonts w:hint="eastAsia" w:ascii="仿宋_GB2312" w:hAnsi="仿宋_GB2312" w:eastAsia="仿宋_GB2312" w:cs="仿宋_GB2312"/>
          <w:bCs/>
          <w:i w:val="0"/>
          <w:iCs w:val="0"/>
          <w:caps w:val="0"/>
          <w:color w:val="000000" w:themeColor="text1"/>
          <w:spacing w:val="0"/>
          <w:sz w:val="32"/>
          <w:szCs w:val="32"/>
          <w:highlight w:val="none"/>
          <w:shd w:val="clear" w:color="auto" w:fill="FFFFFF"/>
          <w14:textFill>
            <w14:solidFill>
              <w14:schemeClr w14:val="tx1"/>
            </w14:solidFill>
          </w14:textFill>
        </w:rPr>
        <w:t>氢燃料电池、制氢、储氢、运（输）氢、加氢、掺氢等</w:t>
      </w:r>
      <w:r>
        <w:rPr>
          <w:rFonts w:hint="eastAsia" w:ascii="仿宋_GB2312" w:hAnsi="仿宋_GB2312" w:eastAsia="仿宋_GB2312" w:cs="仿宋_GB2312"/>
          <w:bCs/>
          <w:i w:val="0"/>
          <w:iCs w:val="0"/>
          <w:caps w:val="0"/>
          <w:color w:val="000000" w:themeColor="text1"/>
          <w:spacing w:val="0"/>
          <w:sz w:val="32"/>
          <w:szCs w:val="32"/>
          <w:highlight w:val="none"/>
          <w:shd w:val="clear" w:color="auto" w:fill="FFFFFF"/>
          <w:lang w:eastAsia="zh-CN"/>
          <w14:textFill>
            <w14:solidFill>
              <w14:schemeClr w14:val="tx1"/>
            </w14:solidFill>
          </w14:textFill>
        </w:rPr>
        <w:t>全产业链</w:t>
      </w:r>
      <w:r>
        <w:rPr>
          <w:rFonts w:hint="eastAsia" w:ascii="仿宋_GB2312" w:hAnsi="仿宋_GB2312" w:eastAsia="仿宋_GB2312" w:cs="仿宋_GB2312"/>
          <w:bCs/>
          <w:i w:val="0"/>
          <w:iCs w:val="0"/>
          <w:caps w:val="0"/>
          <w:color w:val="000000" w:themeColor="text1"/>
          <w:spacing w:val="0"/>
          <w:sz w:val="32"/>
          <w:szCs w:val="32"/>
          <w:highlight w:val="none"/>
          <w:shd w:val="clear" w:color="auto" w:fill="FFFFFF"/>
          <w14:textFill>
            <w14:solidFill>
              <w14:schemeClr w14:val="tx1"/>
            </w14:solidFill>
          </w14:textFill>
        </w:rPr>
        <w:t>生产制造项目</w:t>
      </w:r>
      <w:r>
        <w:rPr>
          <w:rFonts w:hint="eastAsia" w:ascii="仿宋_GB2312" w:hAnsi="仿宋_GB2312" w:eastAsia="仿宋_GB2312" w:cs="仿宋_GB2312"/>
          <w:bCs/>
          <w:color w:val="000000" w:themeColor="text1"/>
          <w:sz w:val="32"/>
          <w:szCs w:val="32"/>
          <w:highlight w:val="none"/>
          <w:shd w:val="clear" w:color="auto" w:fill="FFFFFF"/>
          <w14:textFill>
            <w14:solidFill>
              <w14:schemeClr w14:val="tx1"/>
            </w14:solidFill>
          </w14:textFill>
        </w:rPr>
        <w:t>，对项目立项固定资产投资</w:t>
      </w:r>
      <w:r>
        <w:rPr>
          <w:rFonts w:hint="eastAsia" w:ascii="仿宋_GB2312" w:hAnsi="仿宋_GB2312" w:eastAsia="仿宋_GB2312" w:cs="仿宋_GB2312"/>
          <w:bCs/>
          <w:color w:val="000000" w:themeColor="text1"/>
          <w:sz w:val="32"/>
          <w:szCs w:val="32"/>
          <w:highlight w:val="none"/>
          <w:shd w:val="clear" w:color="auto" w:fill="FFFFFF"/>
          <w:lang w:eastAsia="zh-CN"/>
          <w14:textFill>
            <w14:solidFill>
              <w14:schemeClr w14:val="tx1"/>
            </w14:solidFill>
          </w14:textFill>
        </w:rPr>
        <w:t>额</w:t>
      </w:r>
      <w:r>
        <w:rPr>
          <w:rFonts w:hint="eastAsia" w:ascii="仿宋_GB2312" w:hAnsi="仿宋_GB2312" w:eastAsia="仿宋_GB2312" w:cs="仿宋_GB2312"/>
          <w:bCs/>
          <w:color w:val="000000" w:themeColor="text1"/>
          <w:sz w:val="32"/>
          <w:szCs w:val="32"/>
          <w:highlight w:val="none"/>
          <w:shd w:val="clear" w:color="auto" w:fill="FFFFFF"/>
          <w14:textFill>
            <w14:solidFill>
              <w14:schemeClr w14:val="tx1"/>
            </w14:solidFill>
          </w14:textFill>
        </w:rPr>
        <w:t>且新增实际固定资产投资额（不含土地购置成本）</w:t>
      </w:r>
      <w:r>
        <w:rPr>
          <w:rFonts w:hint="eastAsia" w:ascii="仿宋_GB2312" w:hAnsi="仿宋_GB2312" w:eastAsia="仿宋_GB2312" w:cs="仿宋_GB2312"/>
          <w:bCs/>
          <w:color w:val="000000" w:themeColor="text1"/>
          <w:sz w:val="32"/>
          <w:szCs w:val="32"/>
          <w:highlight w:val="none"/>
          <w:shd w:val="clear" w:color="auto" w:fill="FFFFFF"/>
          <w:lang w:eastAsia="zh-CN"/>
          <w14:textFill>
            <w14:solidFill>
              <w14:schemeClr w14:val="tx1"/>
            </w14:solidFill>
          </w14:textFill>
        </w:rPr>
        <w:t>均</w:t>
      </w:r>
      <w:r>
        <w:rPr>
          <w:rFonts w:hint="eastAsia" w:ascii="仿宋_GB2312" w:hAnsi="仿宋_GB2312" w:eastAsia="仿宋_GB2312" w:cs="仿宋_GB2312"/>
          <w:bCs/>
          <w:color w:val="000000" w:themeColor="text1"/>
          <w:sz w:val="32"/>
          <w:szCs w:val="32"/>
          <w:highlight w:val="none"/>
          <w:shd w:val="clear" w:color="auto" w:fill="FFFFFF"/>
          <w14:textFill>
            <w14:solidFill>
              <w14:schemeClr w14:val="tx1"/>
            </w14:solidFill>
          </w14:textFill>
        </w:rPr>
        <w:t>达5000万元及以上的，按其在规定时限内新增实际固定资产投资额（不含土地购置成本）不超过2%</w:t>
      </w:r>
      <w:r>
        <w:rPr>
          <w:rFonts w:hint="eastAsia" w:ascii="仿宋_GB2312" w:hAnsi="仿宋_GB2312" w:eastAsia="仿宋_GB2312" w:cs="仿宋_GB2312"/>
          <w:bCs/>
          <w:color w:val="000000" w:themeColor="text1"/>
          <w:sz w:val="32"/>
          <w:szCs w:val="32"/>
          <w:highlight w:val="none"/>
          <w:shd w:val="clear" w:color="auto" w:fill="FFFFFF"/>
          <w:lang w:eastAsia="zh-CN"/>
          <w14:textFill>
            <w14:solidFill>
              <w14:schemeClr w14:val="tx1"/>
            </w14:solidFill>
          </w14:textFill>
        </w:rPr>
        <w:t>的比例</w:t>
      </w:r>
      <w:r>
        <w:rPr>
          <w:rFonts w:hint="eastAsia" w:ascii="仿宋_GB2312" w:hAnsi="仿宋_GB2312" w:eastAsia="仿宋_GB2312" w:cs="仿宋_GB2312"/>
          <w:bCs/>
          <w:color w:val="000000" w:themeColor="text1"/>
          <w:sz w:val="32"/>
          <w:szCs w:val="32"/>
          <w:highlight w:val="none"/>
          <w:shd w:val="clear" w:color="auto" w:fill="FFFFFF"/>
          <w14:textFill>
            <w14:solidFill>
              <w14:schemeClr w14:val="tx1"/>
            </w14:solidFill>
          </w14:textFill>
        </w:rPr>
        <w:t>给予事后奖励，单个项目年度奖励不超过</w:t>
      </w:r>
      <w:r>
        <w:rPr>
          <w:rFonts w:hint="eastAsia" w:ascii="仿宋_GB2312" w:hAnsi="仿宋_GB2312" w:eastAsia="仿宋_GB2312" w:cs="仿宋_GB2312"/>
          <w:color w:val="000000" w:themeColor="text1"/>
          <w:sz w:val="32"/>
          <w:szCs w:val="32"/>
          <w:highlight w:val="none"/>
          <w14:textFill>
            <w14:solidFill>
              <w14:schemeClr w14:val="tx1"/>
            </w14:solidFill>
          </w14:textFill>
        </w:rPr>
        <w:t>1000万元。对建设氢能装备展销中心的企业，展厅面积不低于500平方米且投资额200万元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（含）</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以上的，按投资额50%给予最高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不超过</w:t>
      </w:r>
      <w:r>
        <w:rPr>
          <w:rFonts w:hint="eastAsia" w:ascii="仿宋_GB2312" w:hAnsi="仿宋_GB2312" w:eastAsia="仿宋_GB2312" w:cs="仿宋_GB2312"/>
          <w:color w:val="000000" w:themeColor="text1"/>
          <w:sz w:val="32"/>
          <w:szCs w:val="32"/>
          <w:highlight w:val="none"/>
          <w14:textFill>
            <w14:solidFill>
              <w14:schemeClr w14:val="tx1"/>
            </w14:solidFill>
          </w14:textFill>
        </w:rPr>
        <w:t>300万元支持。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14:paraId="65C2B8A3">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Times New Roman" w:eastAsia="楷体_GB2312" w:cs="Times New Roman"/>
          <w:color w:val="000000" w:themeColor="text1"/>
          <w:sz w:val="32"/>
          <w:szCs w:val="32"/>
          <w:highlight w:val="none"/>
          <w:lang w:eastAsia="zh-CN"/>
          <w14:textFill>
            <w14:solidFill>
              <w14:schemeClr w14:val="tx1"/>
            </w14:solidFill>
          </w14:textFill>
        </w:rPr>
        <w:t>（二）支持新能源汽车及零部件生产制造项目。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对新能源产业的</w:t>
      </w:r>
      <w:r>
        <w:rPr>
          <w:rFonts w:hint="eastAsia" w:ascii="仿宋_GB2312" w:hAnsi="仿宋_GB2312"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新一代模块化高性能整车平台、车身一体轻量化、底盘一体化、线控底盘集成化、多能源动力系统集成、基于域控制器的新型电子电气架构以及能量管理为核心的智能控制等整车技术；先进电池材料、电池结构优化、固态电池、燃料电池等新一代电池技术；新型驱动电机、多合一电驱动总成、第三代功率半导体、轮毂电机等电机电控前瞻技术；车规级芯片、“车能路云”一体化应用、工业设计软件、通用大模型等智能化技术加速实现创新成果转化</w:t>
      </w:r>
      <w:r>
        <w:rPr>
          <w:rFonts w:hint="eastAsia" w:ascii="仿宋_GB2312" w:hAnsi="仿宋_GB2312" w:eastAsia="仿宋_GB2312" w:cs="仿宋_GB2312"/>
          <w:i w:val="0"/>
          <w:iCs w:val="0"/>
          <w:caps w:val="0"/>
          <w:color w:val="000000" w:themeColor="text1"/>
          <w:spacing w:val="0"/>
          <w:sz w:val="32"/>
          <w:szCs w:val="32"/>
          <w:highlight w:val="none"/>
          <w:shd w:val="clear"/>
          <w:lang w:eastAsia="zh-CN"/>
          <w14:textFill>
            <w14:solidFill>
              <w14:schemeClr w14:val="tx1"/>
            </w14:solidFill>
          </w14:textFill>
        </w:rPr>
        <w:t>的生产制造项目</w:t>
      </w:r>
      <w:r>
        <w:rPr>
          <w:rFonts w:hint="eastAsia" w:ascii="仿宋_GB2312" w:hAnsi="仿宋_GB2312"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shd w:val="clear" w:color="auto" w:fill="FFFFFF"/>
          <w14:textFill>
            <w14:solidFill>
              <w14:schemeClr w14:val="tx1"/>
            </w14:solidFill>
          </w14:textFill>
        </w:rPr>
        <w:t>对项目立项固定资产投资</w:t>
      </w:r>
      <w:r>
        <w:rPr>
          <w:rFonts w:hint="eastAsia" w:ascii="仿宋_GB2312" w:hAnsi="仿宋_GB2312" w:eastAsia="仿宋_GB2312" w:cs="仿宋_GB2312"/>
          <w:bCs/>
          <w:color w:val="000000" w:themeColor="text1"/>
          <w:sz w:val="32"/>
          <w:szCs w:val="32"/>
          <w:highlight w:val="none"/>
          <w:shd w:val="clear" w:color="auto" w:fill="FFFFFF"/>
          <w:lang w:eastAsia="zh-CN"/>
          <w14:textFill>
            <w14:solidFill>
              <w14:schemeClr w14:val="tx1"/>
            </w14:solidFill>
          </w14:textFill>
        </w:rPr>
        <w:t>额</w:t>
      </w:r>
      <w:r>
        <w:rPr>
          <w:rFonts w:hint="eastAsia" w:ascii="仿宋_GB2312" w:hAnsi="仿宋_GB2312" w:eastAsia="仿宋_GB2312" w:cs="仿宋_GB2312"/>
          <w:bCs/>
          <w:color w:val="000000" w:themeColor="text1"/>
          <w:sz w:val="32"/>
          <w:szCs w:val="32"/>
          <w:highlight w:val="none"/>
          <w:shd w:val="clear" w:color="auto" w:fill="FFFFFF"/>
          <w14:textFill>
            <w14:solidFill>
              <w14:schemeClr w14:val="tx1"/>
            </w14:solidFill>
          </w14:textFill>
        </w:rPr>
        <w:t>且新增实际固定资产投资额（不含土地购置成本）</w:t>
      </w:r>
      <w:r>
        <w:rPr>
          <w:rFonts w:hint="eastAsia" w:ascii="仿宋_GB2312" w:hAnsi="仿宋_GB2312" w:eastAsia="仿宋_GB2312" w:cs="仿宋_GB2312"/>
          <w:bCs/>
          <w:color w:val="000000" w:themeColor="text1"/>
          <w:sz w:val="32"/>
          <w:szCs w:val="32"/>
          <w:highlight w:val="none"/>
          <w:shd w:val="clear" w:color="auto" w:fill="FFFFFF"/>
          <w:lang w:eastAsia="zh-CN"/>
          <w14:textFill>
            <w14:solidFill>
              <w14:schemeClr w14:val="tx1"/>
            </w14:solidFill>
          </w14:textFill>
        </w:rPr>
        <w:t>均</w:t>
      </w:r>
      <w:r>
        <w:rPr>
          <w:rFonts w:hint="eastAsia" w:ascii="仿宋_GB2312" w:hAnsi="仿宋_GB2312" w:eastAsia="仿宋_GB2312" w:cs="仿宋_GB2312"/>
          <w:color w:val="000000" w:themeColor="text1"/>
          <w:sz w:val="32"/>
          <w:szCs w:val="32"/>
          <w:highlight w:val="none"/>
          <w14:textFill>
            <w14:solidFill>
              <w14:schemeClr w14:val="tx1"/>
            </w14:solidFill>
          </w14:textFill>
        </w:rPr>
        <w:t>达5000万元及以上的，</w:t>
      </w:r>
      <w:r>
        <w:rPr>
          <w:rFonts w:hint="eastAsia" w:ascii="仿宋_GB2312" w:hAnsi="仿宋_GB2312" w:eastAsia="仿宋_GB2312" w:cs="仿宋_GB2312"/>
          <w:bCs/>
          <w:color w:val="000000" w:themeColor="text1"/>
          <w:sz w:val="32"/>
          <w:szCs w:val="32"/>
          <w:highlight w:val="none"/>
          <w:shd w:val="clear" w:color="auto" w:fill="FFFFFF"/>
          <w14:textFill>
            <w14:solidFill>
              <w14:schemeClr w14:val="tx1"/>
            </w14:solidFill>
          </w14:textFill>
        </w:rPr>
        <w:t>按其在规定时限内新增实际固定资产投资额（不含土地购置成本）不超过</w:t>
      </w: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的比例</w:t>
      </w:r>
      <w:r>
        <w:rPr>
          <w:rFonts w:hint="eastAsia" w:ascii="仿宋_GB2312" w:hAnsi="仿宋_GB2312" w:eastAsia="仿宋_GB2312" w:cs="仿宋_GB2312"/>
          <w:color w:val="000000" w:themeColor="text1"/>
          <w:sz w:val="32"/>
          <w:szCs w:val="32"/>
          <w:highlight w:val="none"/>
          <w14:textFill>
            <w14:solidFill>
              <w14:schemeClr w14:val="tx1"/>
            </w14:solidFill>
          </w14:textFill>
        </w:rPr>
        <w:t>给予事后奖励，单个项目年度奖励不超过1000万元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lang w:eastAsia="zh-CN"/>
          <w14:textFill>
            <w14:solidFill>
              <w14:schemeClr w14:val="tx1"/>
            </w14:solidFill>
          </w14:textFill>
        </w:rPr>
        <w:t>（“</w:t>
      </w:r>
      <w:r>
        <w:rPr>
          <w:rStyle w:val="8"/>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车能路云</w:t>
      </w:r>
      <w:r>
        <w:rPr>
          <w:rFonts w:hint="eastAsia" w:ascii="仿宋_GB2312" w:hAnsi="仿宋_GB2312" w:eastAsia="仿宋_GB2312" w:cs="仿宋_GB2312"/>
          <w:i w:val="0"/>
          <w:iCs w:val="0"/>
          <w:caps w:val="0"/>
          <w:color w:val="000000" w:themeColor="text1"/>
          <w:spacing w:val="0"/>
          <w:sz w:val="32"/>
          <w:szCs w:val="32"/>
          <w:highlight w:val="none"/>
          <w:shd w:val="clear"/>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auto"/>
          <w14:textFill>
            <w14:solidFill>
              <w14:schemeClr w14:val="tx1"/>
            </w14:solidFill>
          </w14:textFill>
        </w:rPr>
        <w:t>‌是指新能源汽车、新能源产业、智慧公路基础设施和云计算技术的相互融合，形成一种全新的智能、绿色、安全和高效的出行生态系统。</w:t>
      </w:r>
      <w:r>
        <w:rPr>
          <w:rFonts w:hint="eastAsia" w:ascii="仿宋_GB2312" w:hAnsi="仿宋_GB2312" w:eastAsia="仿宋_GB2312" w:cs="仿宋_GB2312"/>
          <w:i w:val="0"/>
          <w:iCs w:val="0"/>
          <w:caps w:val="0"/>
          <w:color w:val="000000" w:themeColor="text1"/>
          <w:spacing w:val="0"/>
          <w:sz w:val="32"/>
          <w:szCs w:val="32"/>
          <w:highlight w:val="none"/>
          <w:shd w:val="clear"/>
          <w:lang w:eastAsia="zh-CN"/>
          <w14:textFill>
            <w14:solidFill>
              <w14:schemeClr w14:val="tx1"/>
            </w14:solidFill>
          </w14:textFill>
        </w:rPr>
        <w:t>）</w:t>
      </w:r>
    </w:p>
    <w:p w14:paraId="01C61F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二、支持新能源企业</w:t>
      </w:r>
      <w:r>
        <w:rPr>
          <w:rFonts w:hint="eastAsia" w:ascii="黑体" w:hAnsi="黑体" w:eastAsia="黑体" w:cs="黑体"/>
          <w:color w:val="000000" w:themeColor="text1"/>
          <w:sz w:val="32"/>
          <w:szCs w:val="32"/>
          <w:highlight w:val="none"/>
          <w14:textFill>
            <w14:solidFill>
              <w14:schemeClr w14:val="tx1"/>
            </w14:solidFill>
          </w14:textFill>
        </w:rPr>
        <w:t>技术改造</w:t>
      </w:r>
    </w:p>
    <w:p w14:paraId="595600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Cs/>
          <w:color w:val="000000" w:themeColor="text1"/>
          <w:sz w:val="32"/>
          <w:szCs w:val="32"/>
          <w:highlight w:val="none"/>
          <w:shd w:val="clear" w:color="auto" w:fill="FFFFFF"/>
          <w:lang w:eastAsia="zh-CN"/>
          <w14:textFill>
            <w14:solidFill>
              <w14:schemeClr w14:val="tx1"/>
            </w14:solidFill>
          </w14:textFill>
        </w:rPr>
      </w:pPr>
      <w:r>
        <w:rPr>
          <w:rFonts w:hint="eastAsia" w:ascii="楷体_GB2312" w:hAnsi="Times New Roman" w:eastAsia="楷体_GB2312" w:cs="Times New Roman"/>
          <w:color w:val="000000" w:themeColor="text1"/>
          <w:sz w:val="32"/>
          <w:szCs w:val="32"/>
          <w:highlight w:val="none"/>
          <w:lang w:eastAsia="zh-CN"/>
          <w14:textFill>
            <w14:solidFill>
              <w14:schemeClr w14:val="tx1"/>
            </w14:solidFill>
          </w14:textFill>
        </w:rPr>
        <w:t>（三）支持新能源</w:t>
      </w:r>
      <w:r>
        <w:rPr>
          <w:rFonts w:hint="eastAsia" w:ascii="楷体_GB2312" w:hAnsi="Times New Roman" w:eastAsia="楷体_GB2312" w:cs="Times New Roman"/>
          <w:color w:val="000000" w:themeColor="text1"/>
          <w:sz w:val="32"/>
          <w:szCs w:val="32"/>
          <w:highlight w:val="none"/>
          <w:lang w:val="en-US" w:eastAsia="zh-CN"/>
          <w14:textFill>
            <w14:solidFill>
              <w14:schemeClr w14:val="tx1"/>
            </w14:solidFill>
          </w14:textFill>
        </w:rPr>
        <w:t>企业技术改造。</w:t>
      </w:r>
      <w:r>
        <w:rPr>
          <w:rFonts w:hint="eastAsia" w:ascii="仿宋_GB2312" w:hAnsi="仿宋_GB2312" w:eastAsia="仿宋_GB2312" w:cs="仿宋_GB2312"/>
          <w:bCs/>
          <w:color w:val="000000" w:themeColor="text1"/>
          <w:sz w:val="32"/>
          <w:szCs w:val="32"/>
          <w:highlight w:val="none"/>
          <w:shd w:val="clear" w:color="auto" w:fill="FFFFFF"/>
          <w:lang w:val="en-US" w:eastAsia="zh-CN"/>
          <w14:textFill>
            <w14:solidFill>
              <w14:schemeClr w14:val="tx1"/>
            </w14:solidFill>
          </w14:textFill>
        </w:rPr>
        <w:t>根据《广东省人民政府关于新形势下推动工业企业加快实施技术改造的若干措施》（粤办函〔2023〕293号）精神，支持新能源企业实施技术改造，</w:t>
      </w:r>
      <w:r>
        <w:rPr>
          <w:rFonts w:hint="eastAsia" w:ascii="仿宋_GB2312" w:hAnsi="仿宋_GB2312" w:eastAsia="仿宋_GB2312" w:cs="仿宋_GB2312"/>
          <w:bCs/>
          <w:color w:val="000000" w:themeColor="text1"/>
          <w:sz w:val="32"/>
          <w:szCs w:val="32"/>
          <w:highlight w:val="none"/>
          <w:shd w:val="clear" w:color="auto" w:fill="FFFFFF"/>
          <w14:textFill>
            <w14:solidFill>
              <w14:schemeClr w14:val="tx1"/>
            </w14:solidFill>
          </w14:textFill>
        </w:rPr>
        <w:t>对固定资产投资500万元</w:t>
      </w:r>
      <w:r>
        <w:rPr>
          <w:rFonts w:hint="eastAsia" w:ascii="仿宋_GB2312" w:hAnsi="仿宋_GB2312" w:eastAsia="仿宋_GB2312" w:cs="仿宋_GB2312"/>
          <w:bCs/>
          <w:color w:val="000000" w:themeColor="text1"/>
          <w:sz w:val="32"/>
          <w:szCs w:val="32"/>
          <w:highlight w:val="none"/>
          <w:shd w:val="clear" w:color="auto" w:fill="FFFFFF"/>
          <w:lang w:eastAsia="zh-CN"/>
          <w14:textFill>
            <w14:solidFill>
              <w14:schemeClr w14:val="tx1"/>
            </w14:solidFill>
          </w14:textFill>
        </w:rPr>
        <w:t>以上</w:t>
      </w:r>
      <w:r>
        <w:rPr>
          <w:rFonts w:hint="eastAsia" w:ascii="仿宋_GB2312" w:hAnsi="仿宋_GB2312" w:eastAsia="仿宋_GB2312" w:cs="仿宋_GB2312"/>
          <w:bCs/>
          <w:color w:val="000000" w:themeColor="text1"/>
          <w:sz w:val="32"/>
          <w:szCs w:val="32"/>
          <w:highlight w:val="none"/>
          <w:shd w:val="clear" w:color="auto" w:fill="FFFFFF"/>
          <w14:textFill>
            <w14:solidFill>
              <w14:schemeClr w14:val="tx1"/>
            </w14:solidFill>
          </w14:textFill>
        </w:rPr>
        <w:t>且设备投资400万元以上的技术改造项目，按</w:t>
      </w:r>
      <w:r>
        <w:rPr>
          <w:rFonts w:hint="eastAsia" w:ascii="仿宋_GB2312" w:hAnsi="仿宋_GB2312" w:eastAsia="仿宋_GB2312" w:cs="仿宋_GB2312"/>
          <w:bCs/>
          <w:color w:val="000000" w:themeColor="text1"/>
          <w:sz w:val="32"/>
          <w:szCs w:val="32"/>
          <w:highlight w:val="none"/>
          <w:shd w:val="clear" w:color="auto" w:fill="FFFFFF"/>
          <w:lang w:eastAsia="zh-CN"/>
          <w14:textFill>
            <w14:solidFill>
              <w14:schemeClr w14:val="tx1"/>
            </w14:solidFill>
          </w14:textFill>
        </w:rPr>
        <w:t>不超过</w:t>
      </w:r>
      <w:r>
        <w:rPr>
          <w:rFonts w:hint="eastAsia" w:ascii="仿宋_GB2312" w:hAnsi="仿宋_GB2312" w:eastAsia="仿宋_GB2312" w:cs="仿宋_GB2312"/>
          <w:bCs/>
          <w:color w:val="000000" w:themeColor="text1"/>
          <w:sz w:val="32"/>
          <w:szCs w:val="32"/>
          <w:highlight w:val="none"/>
          <w:shd w:val="clear" w:color="auto" w:fill="FFFFFF"/>
          <w14:textFill>
            <w14:solidFill>
              <w14:schemeClr w14:val="tx1"/>
            </w14:solidFill>
          </w14:textFill>
        </w:rPr>
        <w:t>新设备购置额（</w:t>
      </w:r>
      <w:r>
        <w:rPr>
          <w:rFonts w:hint="eastAsia" w:ascii="仿宋_GB2312" w:hAnsi="仿宋_GB2312" w:eastAsia="仿宋_GB2312" w:cs="仿宋_GB2312"/>
          <w:bCs/>
          <w:color w:val="000000" w:themeColor="text1"/>
          <w:sz w:val="32"/>
          <w:szCs w:val="32"/>
          <w:highlight w:val="none"/>
          <w:shd w:val="clear" w:color="auto" w:fill="FFFFFF"/>
          <w:lang w:eastAsia="zh-CN"/>
          <w14:textFill>
            <w14:solidFill>
              <w14:schemeClr w14:val="tx1"/>
            </w14:solidFill>
          </w14:textFill>
        </w:rPr>
        <w:t>不</w:t>
      </w:r>
      <w:r>
        <w:rPr>
          <w:rFonts w:hint="eastAsia" w:ascii="仿宋_GB2312" w:hAnsi="仿宋_GB2312" w:eastAsia="仿宋_GB2312" w:cs="仿宋_GB2312"/>
          <w:bCs/>
          <w:color w:val="000000" w:themeColor="text1"/>
          <w:sz w:val="32"/>
          <w:szCs w:val="32"/>
          <w:highlight w:val="none"/>
          <w:shd w:val="clear" w:color="auto" w:fill="FFFFFF"/>
          <w14:textFill>
            <w14:solidFill>
              <w14:schemeClr w14:val="tx1"/>
            </w14:solidFill>
          </w14:textFill>
        </w:rPr>
        <w:t>含税）的30%进行奖励，单个项目奖励不超过1500万元</w:t>
      </w:r>
      <w:r>
        <w:rPr>
          <w:rFonts w:hint="eastAsia" w:ascii="仿宋_GB2312" w:hAnsi="仿宋_GB2312" w:eastAsia="仿宋_GB2312" w:cs="仿宋_GB2312"/>
          <w:bCs/>
          <w:color w:val="000000" w:themeColor="text1"/>
          <w:sz w:val="32"/>
          <w:szCs w:val="32"/>
          <w:highlight w:val="none"/>
          <w:shd w:val="clear" w:color="auto" w:fill="FFFFFF"/>
          <w:lang w:eastAsia="zh-CN"/>
          <w14:textFill>
            <w14:solidFill>
              <w14:schemeClr w14:val="tx1"/>
            </w14:solidFill>
          </w14:textFill>
        </w:rPr>
        <w:t>，具体按照省技改政策施行，不与省</w:t>
      </w:r>
      <w:r>
        <w:rPr>
          <w:rFonts w:hint="eastAsia" w:ascii="仿宋_GB2312" w:hAnsi="仿宋_GB2312" w:eastAsia="仿宋_GB2312" w:cs="仿宋_GB2312"/>
          <w:bCs/>
          <w:color w:val="000000" w:themeColor="text1"/>
          <w:sz w:val="32"/>
          <w:szCs w:val="32"/>
          <w:highlight w:val="none"/>
          <w:shd w:val="clear" w:color="auto" w:fill="FFFFFF"/>
          <w14:textFill>
            <w14:solidFill>
              <w14:schemeClr w14:val="tx1"/>
            </w14:solidFill>
          </w14:textFill>
        </w:rPr>
        <w:t>普惠性</w:t>
      </w:r>
      <w:r>
        <w:rPr>
          <w:rFonts w:hint="eastAsia" w:ascii="仿宋_GB2312" w:hAnsi="仿宋_GB2312" w:eastAsia="仿宋_GB2312" w:cs="仿宋_GB2312"/>
          <w:bCs/>
          <w:color w:val="000000" w:themeColor="text1"/>
          <w:sz w:val="32"/>
          <w:szCs w:val="32"/>
          <w:highlight w:val="none"/>
          <w:shd w:val="clear" w:color="auto" w:fill="FFFFFF"/>
          <w:lang w:eastAsia="zh-CN"/>
          <w14:textFill>
            <w14:solidFill>
              <w14:schemeClr w14:val="tx1"/>
            </w14:solidFill>
          </w14:textFill>
        </w:rPr>
        <w:t>制造业投资奖励叠加享受</w:t>
      </w:r>
      <w:r>
        <w:rPr>
          <w:rFonts w:hint="eastAsia" w:ascii="仿宋_GB2312" w:hAnsi="仿宋_GB2312" w:eastAsia="仿宋_GB2312" w:cs="仿宋_GB2312"/>
          <w:bCs/>
          <w:color w:val="000000" w:themeColor="text1"/>
          <w:sz w:val="32"/>
          <w:szCs w:val="32"/>
          <w:highlight w:val="none"/>
          <w:shd w:val="clear" w:color="auto" w:fill="FFFFFF"/>
          <w14:textFill>
            <w14:solidFill>
              <w14:schemeClr w14:val="tx1"/>
            </w14:solidFill>
          </w14:textFill>
        </w:rPr>
        <w:t>。</w:t>
      </w:r>
    </w:p>
    <w:p w14:paraId="514AE5F8">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黑体" w:hAnsi="黑体" w:eastAsia="黑体" w:cs="黑体"/>
          <w:color w:val="000000" w:themeColor="text1"/>
          <w:kern w:val="2"/>
          <w:sz w:val="32"/>
          <w:szCs w:val="32"/>
          <w:highlight w:val="none"/>
          <w:lang w:val="en-US" w:eastAsia="zh-CN" w:bidi="ar"/>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三</w:t>
      </w:r>
      <w:r>
        <w:rPr>
          <w:rFonts w:hint="eastAsia" w:ascii="黑体" w:hAnsi="黑体" w:eastAsia="黑体" w:cs="黑体"/>
          <w:color w:val="000000" w:themeColor="text1"/>
          <w:sz w:val="32"/>
          <w:szCs w:val="32"/>
          <w:highlight w:val="none"/>
          <w14:textFill>
            <w14:solidFill>
              <w14:schemeClr w14:val="tx1"/>
            </w14:solidFill>
          </w14:textFill>
        </w:rPr>
        <w:t>、</w:t>
      </w:r>
      <w:r>
        <w:rPr>
          <w:rFonts w:hint="eastAsia" w:ascii="黑体" w:hAnsi="黑体" w:eastAsia="黑体" w:cs="黑体"/>
          <w:color w:val="000000" w:themeColor="text1"/>
          <w:kern w:val="2"/>
          <w:sz w:val="32"/>
          <w:szCs w:val="32"/>
          <w:highlight w:val="none"/>
          <w:lang w:val="en-US" w:eastAsia="zh-CN" w:bidi="ar"/>
          <w14:textFill>
            <w14:solidFill>
              <w14:schemeClr w14:val="tx1"/>
            </w14:solidFill>
          </w14:textFill>
        </w:rPr>
        <w:t>支持新能源关键核心技术攻关</w:t>
      </w:r>
    </w:p>
    <w:p w14:paraId="694249F3">
      <w:pPr>
        <w:keepNext w:val="0"/>
        <w:keepLines w:val="0"/>
        <w:widowControl/>
        <w:suppressLineNumbers w:val="0"/>
        <w:pBdr>
          <w:top w:val="none" w:color="auto" w:sz="0" w:space="0"/>
          <w:left w:val="none" w:color="auto" w:sz="0" w:space="0"/>
          <w:right w:val="none" w:color="auto" w:sz="0" w:space="0"/>
        </w:pBdr>
        <w:shd w:val="clear"/>
        <w:spacing w:before="0" w:beforeAutospacing="0" w:after="0" w:afterAutospacing="0" w:line="600" w:lineRule="exact"/>
        <w:ind w:left="0" w:right="0" w:firstLine="640" w:firstLineChars="200"/>
        <w:jc w:val="both"/>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聚焦</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新能源</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前沿技术与应用基础技术研究，依托骨干企业、高校和科研院所，加大对关键核心技术的研发支持力度。</w:t>
      </w:r>
    </w:p>
    <w:p w14:paraId="0B73F87B">
      <w:pPr>
        <w:keepNext w:val="0"/>
        <w:keepLines w:val="0"/>
        <w:widowControl/>
        <w:numPr>
          <w:ilvl w:val="-1"/>
          <w:numId w:val="0"/>
        </w:numPr>
        <w:suppressLineNumbers w:val="0"/>
        <w:pBdr>
          <w:top w:val="none" w:color="auto" w:sz="0" w:space="0"/>
          <w:left w:val="none" w:color="auto" w:sz="0" w:space="0"/>
          <w:right w:val="none" w:color="auto" w:sz="0" w:space="0"/>
        </w:pBdr>
        <w:shd w:val="clear"/>
        <w:spacing w:before="0" w:beforeAutospacing="0" w:after="0" w:afterAutospacing="0" w:line="600" w:lineRule="exact"/>
        <w:ind w:left="0" w:leftChars="0" w:right="0" w:firstLine="640" w:firstLineChars="200"/>
        <w:jc w:val="both"/>
        <w:rPr>
          <w:rFonts w:hint="eastAsia" w:ascii="仿宋_GB2312" w:hAnsi="仿宋_GB2312" w:eastAsia="仿宋_GB2312" w:cs="仿宋_GB2312"/>
          <w:i w:val="0"/>
          <w:iCs w:val="0"/>
          <w:caps w:val="0"/>
          <w:color w:val="000000" w:themeColor="text1"/>
          <w:spacing w:val="0"/>
          <w:sz w:val="32"/>
          <w:szCs w:val="32"/>
          <w:highlight w:val="none"/>
          <w:shd w:val="clear"/>
          <w:lang w:bidi="ar"/>
          <w14:textFill>
            <w14:solidFill>
              <w14:schemeClr w14:val="tx1"/>
            </w14:solidFill>
          </w14:textFill>
        </w:rPr>
      </w:pPr>
      <w:r>
        <w:rPr>
          <w:rFonts w:hint="eastAsia" w:ascii="楷体_GB2312" w:hAnsi="Times New Roman" w:eastAsia="楷体_GB2312" w:cs="Times New Roman"/>
          <w:color w:val="000000" w:themeColor="text1"/>
          <w:kern w:val="2"/>
          <w:sz w:val="32"/>
          <w:szCs w:val="32"/>
          <w:highlight w:val="none"/>
          <w:lang w:val="en-US" w:eastAsia="zh-CN" w:bidi="ar"/>
          <w14:textFill>
            <w14:solidFill>
              <w14:schemeClr w14:val="tx1"/>
            </w14:solidFill>
          </w14:textFill>
        </w:rPr>
        <w:t>（四）支持新能源科研平台</w:t>
      </w:r>
      <w:r>
        <w:rPr>
          <w:rFonts w:hint="eastAsia" w:ascii="楷体_GB2312" w:hAnsi="Times New Roman" w:eastAsia="楷体_GB2312" w:cs="Times New Roman"/>
          <w:color w:val="000000" w:themeColor="text1"/>
          <w:kern w:val="2"/>
          <w:sz w:val="32"/>
          <w:szCs w:val="32"/>
          <w:highlight w:val="none"/>
          <w:lang w:val="en-US" w:eastAsia="zh-CN" w:bidi="ar"/>
          <w14:textFill>
            <w14:solidFill>
              <w14:schemeClr w14:val="tx1"/>
            </w14:solidFill>
          </w14:textFill>
        </w:rPr>
        <w:t>和项目</w:t>
      </w:r>
      <w:r>
        <w:rPr>
          <w:rFonts w:hint="eastAsia" w:ascii="楷体_GB2312" w:hAnsi="Times New Roman" w:eastAsia="楷体_GB2312" w:cs="Times New Roman"/>
          <w:color w:val="000000" w:themeColor="text1"/>
          <w:kern w:val="2"/>
          <w:sz w:val="32"/>
          <w:szCs w:val="32"/>
          <w:highlight w:val="none"/>
          <w:lang w:val="en-US" w:eastAsia="zh-CN" w:bidi="ar"/>
          <w14:textFill>
            <w14:solidFill>
              <w14:schemeClr w14:val="tx1"/>
            </w14:solidFill>
          </w14:textFill>
        </w:rPr>
        <w:t>建设。</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对本措施出台后新认定的国家级重点实验室、工程研究中心，省级重点实验室、工程研究中心，分别给予200万、100万元奖励；对经认定的国家级、省级企业技术中心，分别给予150万元、50万元奖励</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对积极承担省级</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以上</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重大科技项目的企业、科研机构</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给予</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奖励</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bidi="ar"/>
          <w14:textFill>
            <w14:solidFill>
              <w14:schemeClr w14:val="tx1"/>
            </w14:solidFill>
          </w14:textFill>
        </w:rPr>
        <w:t>，按照立项金</w:t>
      </w:r>
      <w:r>
        <w:rPr>
          <w:rFonts w:hint="eastAsia" w:ascii="仿宋_GB2312" w:hAnsi="仿宋_GB2312" w:eastAsia="仿宋_GB2312" w:cs="仿宋_GB2312"/>
          <w:i w:val="0"/>
          <w:iCs w:val="0"/>
          <w:caps w:val="0"/>
          <w:color w:val="000000" w:themeColor="text1"/>
          <w:spacing w:val="0"/>
          <w:sz w:val="32"/>
          <w:szCs w:val="32"/>
          <w:highlight w:val="none"/>
          <w:shd w:val="clear" w:fill="FFFFFF"/>
          <w:lang w:bidi="ar"/>
          <w14:textFill>
            <w14:solidFill>
              <w14:schemeClr w14:val="tx1"/>
            </w14:solidFill>
          </w14:textFill>
        </w:rPr>
        <w:t>额</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bidi="ar"/>
          <w14:textFill>
            <w14:solidFill>
              <w14:schemeClr w14:val="tx1"/>
            </w14:solidFill>
          </w14:textFill>
        </w:rPr>
        <w:t>最高不超过</w:t>
      </w:r>
      <w:r>
        <w:rPr>
          <w:rFonts w:hint="eastAsia" w:ascii="仿宋_GB2312" w:hAnsi="仿宋_GB2312" w:eastAsia="仿宋_GB2312" w:cs="仿宋_GB2312"/>
          <w:i w:val="0"/>
          <w:iCs w:val="0"/>
          <w:caps w:val="0"/>
          <w:color w:val="000000" w:themeColor="text1"/>
          <w:spacing w:val="0"/>
          <w:sz w:val="32"/>
          <w:szCs w:val="32"/>
          <w:highlight w:val="none"/>
          <w:shd w:val="clear" w:fill="FFFFFF"/>
          <w:lang w:bidi="ar"/>
          <w14:textFill>
            <w14:solidFill>
              <w14:schemeClr w14:val="tx1"/>
            </w14:solidFill>
          </w14:textFill>
        </w:rPr>
        <w:t>20%进行</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bidi="ar"/>
          <w14:textFill>
            <w14:solidFill>
              <w14:schemeClr w14:val="tx1"/>
            </w14:solidFill>
          </w14:textFill>
        </w:rPr>
        <w:t>配套奖励</w:t>
      </w:r>
      <w:r>
        <w:rPr>
          <w:rFonts w:hint="eastAsia" w:ascii="仿宋_GB2312" w:hAnsi="仿宋_GB2312" w:eastAsia="仿宋_GB2312" w:cs="仿宋_GB2312"/>
          <w:i w:val="0"/>
          <w:iCs w:val="0"/>
          <w:caps w:val="0"/>
          <w:color w:val="000000" w:themeColor="text1"/>
          <w:spacing w:val="0"/>
          <w:sz w:val="32"/>
          <w:szCs w:val="32"/>
          <w:highlight w:val="none"/>
          <w:shd w:val="clear" w:fill="FFFFFF"/>
          <w:lang w:bidi="ar"/>
          <w14:textFill>
            <w14:solidFill>
              <w14:schemeClr w14:val="tx1"/>
            </w14:solidFill>
          </w14:textFill>
        </w:rPr>
        <w:t>，</w:t>
      </w:r>
      <w:r>
        <w:rPr>
          <w:rFonts w:hint="eastAsia" w:ascii="仿宋_GB2312" w:hAnsi="仿宋_GB2312" w:eastAsia="仿宋_GB2312" w:cs="仿宋_GB2312"/>
          <w:bCs w:val="0"/>
          <w:i w:val="0"/>
          <w:iCs w:val="0"/>
          <w:caps w:val="0"/>
          <w:color w:val="000000" w:themeColor="text1"/>
          <w:spacing w:val="0"/>
          <w:sz w:val="32"/>
          <w:szCs w:val="32"/>
          <w:highlight w:val="none"/>
          <w:shd w:val="clear" w:color="auto" w:fill="FFFFFF"/>
          <w:lang w:val="en-US" w:eastAsia="zh-CN" w:bidi="ar"/>
          <w14:textFill>
            <w14:solidFill>
              <w14:schemeClr w14:val="tx1"/>
            </w14:solidFill>
          </w14:textFill>
        </w:rPr>
        <w:t>同一生产主体或由同一实控人控制的科研机构或企业</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bidi="ar"/>
          <w14:textFill>
            <w14:solidFill>
              <w14:schemeClr w14:val="tx1"/>
            </w14:solidFill>
          </w14:textFill>
        </w:rPr>
        <w:t>奖励金额不超过</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bidi="ar"/>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highlight w:val="none"/>
          <w:shd w:val="clear" w:fill="FFFFFF"/>
          <w:lang w:bidi="ar"/>
          <w14:textFill>
            <w14:solidFill>
              <w14:schemeClr w14:val="tx1"/>
            </w14:solidFill>
          </w14:textFill>
        </w:rPr>
        <w:t>00万元。</w:t>
      </w:r>
    </w:p>
    <w:p w14:paraId="6D8715D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left="0" w:right="0" w:firstLine="640" w:firstLineChars="200"/>
        <w:jc w:val="both"/>
        <w:outlineLvl w:val="9"/>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eastAsia" w:ascii="楷体_GB2312" w:hAnsi="Times New Roman" w:eastAsia="楷体_GB2312" w:cs="Times New Roman"/>
          <w:i w:val="0"/>
          <w:iCs w:val="0"/>
          <w:caps w:val="0"/>
          <w:color w:val="000000" w:themeColor="text1"/>
          <w:spacing w:val="0"/>
          <w:sz w:val="32"/>
          <w:szCs w:val="32"/>
          <w:highlight w:val="none"/>
          <w:shd w:val="clear" w:fill="FFFFFF"/>
          <w:lang w:eastAsia="zh-CN" w:bidi="ar"/>
          <w14:textFill>
            <w14:solidFill>
              <w14:schemeClr w14:val="tx1"/>
            </w14:solidFill>
          </w14:textFill>
        </w:rPr>
        <w:t>（</w:t>
      </w:r>
      <w:r>
        <w:rPr>
          <w:rFonts w:hint="eastAsia" w:ascii="楷体_GB2312" w:hAnsi="Times New Roman" w:eastAsia="楷体_GB2312" w:cs="Times New Roman"/>
          <w:i w:val="0"/>
          <w:iCs w:val="0"/>
          <w:caps w:val="0"/>
          <w:color w:val="000000" w:themeColor="text1"/>
          <w:spacing w:val="0"/>
          <w:sz w:val="32"/>
          <w:szCs w:val="32"/>
          <w:highlight w:val="none"/>
          <w:shd w:val="clear"/>
          <w:lang w:eastAsia="zh-CN" w:bidi="ar"/>
          <w14:textFill>
            <w14:solidFill>
              <w14:schemeClr w14:val="tx1"/>
            </w14:solidFill>
          </w14:textFill>
        </w:rPr>
        <w:t>五</w:t>
      </w:r>
      <w:r>
        <w:rPr>
          <w:rFonts w:hint="eastAsia" w:ascii="楷体_GB2312" w:hAnsi="Times New Roman" w:eastAsia="楷体_GB2312" w:cs="Times New Roman"/>
          <w:i w:val="0"/>
          <w:iCs w:val="0"/>
          <w:caps w:val="0"/>
          <w:color w:val="000000" w:themeColor="text1"/>
          <w:spacing w:val="0"/>
          <w:sz w:val="32"/>
          <w:szCs w:val="32"/>
          <w:highlight w:val="none"/>
          <w:shd w:val="clear" w:fill="FFFFFF"/>
          <w:lang w:eastAsia="zh-CN" w:bidi="ar"/>
          <w14:textFill>
            <w14:solidFill>
              <w14:schemeClr w14:val="tx1"/>
            </w14:solidFill>
          </w14:textFill>
        </w:rPr>
        <w:t>）</w:t>
      </w:r>
      <w:r>
        <w:rPr>
          <w:rFonts w:hint="eastAsia" w:ascii="楷体_GB2312" w:hAnsi="Times New Roman" w:eastAsia="楷体_GB2312" w:cs="Times New Roman"/>
          <w:i w:val="0"/>
          <w:iCs w:val="0"/>
          <w:caps w:val="0"/>
          <w:color w:val="000000" w:themeColor="text1"/>
          <w:spacing w:val="0"/>
          <w:sz w:val="32"/>
          <w:szCs w:val="32"/>
          <w:highlight w:val="none"/>
          <w:shd w:val="clear"/>
          <w:lang w:eastAsia="zh-CN" w:bidi="ar"/>
          <w14:textFill>
            <w14:solidFill>
              <w14:schemeClr w14:val="tx1"/>
            </w14:solidFill>
          </w14:textFill>
        </w:rPr>
        <w:t>支持</w:t>
      </w:r>
      <w:r>
        <w:rPr>
          <w:rFonts w:hint="eastAsia" w:ascii="楷体_GB2312" w:hAnsi="Times New Roman" w:eastAsia="楷体_GB2312" w:cs="Times New Roman"/>
          <w:color w:val="000000" w:themeColor="text1"/>
          <w:kern w:val="2"/>
          <w:sz w:val="32"/>
          <w:szCs w:val="32"/>
          <w:highlight w:val="none"/>
          <w:lang w:val="en-US" w:eastAsia="zh-CN" w:bidi="ar"/>
          <w14:textFill>
            <w14:solidFill>
              <w14:schemeClr w14:val="tx1"/>
            </w14:solidFill>
          </w14:textFill>
        </w:rPr>
        <w:t>氢能产业关键核心</w:t>
      </w:r>
      <w:r>
        <w:rPr>
          <w:rFonts w:hint="eastAsia" w:ascii="楷体_GB2312" w:hAnsi="Times New Roman" w:eastAsia="楷体_GB2312" w:cs="Times New Roman"/>
          <w:i w:val="0"/>
          <w:iCs w:val="0"/>
          <w:caps w:val="0"/>
          <w:color w:val="000000" w:themeColor="text1"/>
          <w:spacing w:val="0"/>
          <w:sz w:val="32"/>
          <w:szCs w:val="32"/>
          <w:highlight w:val="none"/>
          <w:shd w:val="clear"/>
          <w:lang w:eastAsia="zh-CN" w:bidi="ar"/>
          <w14:textFill>
            <w14:solidFill>
              <w14:schemeClr w14:val="tx1"/>
            </w14:solidFill>
          </w14:textFill>
        </w:rPr>
        <w:t>技术攻关。</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 xml:space="preserve">重点推动氢能与燃料电池等新能源领域的“卡脖子”工程突破，鼓励各类主体或创新联合体面向产业链关键环节，开展技术攻关并推动创新成果产业化落地，经评审后按照上年度研发投入最高不超过10%给予支持，每个单位每年不超过200万元。     </w:t>
      </w:r>
    </w:p>
    <w:p w14:paraId="34D0D357">
      <w:pPr>
        <w:keepNext w:val="0"/>
        <w:keepLines w:val="0"/>
        <w:pageBreakBefore w:val="0"/>
        <w:widowControl/>
        <w:numPr>
          <w:ilvl w:val="-1"/>
          <w:numId w:val="0"/>
        </w:numPr>
        <w:suppressLineNumbers w:val="0"/>
        <w:pBdr>
          <w:top w:val="none" w:color="auto" w:sz="0" w:space="0"/>
          <w:left w:val="none" w:color="auto" w:sz="0" w:space="0"/>
          <w:right w:val="none" w:color="auto" w:sz="0" w:space="0"/>
        </w:pBdr>
        <w:shd w:val="clear"/>
        <w:kinsoku/>
        <w:wordWrap/>
        <w:overflowPunct/>
        <w:topLinePunct w:val="0"/>
        <w:autoSpaceDE/>
        <w:autoSpaceDN/>
        <w:bidi w:val="0"/>
        <w:snapToGrid/>
        <w:spacing w:before="0" w:beforeAutospacing="0" w:after="0" w:afterAutospacing="0" w:line="600" w:lineRule="exact"/>
        <w:ind w:left="0" w:leftChars="0" w:right="0" w:firstLine="640" w:firstLineChars="200"/>
        <w:jc w:val="both"/>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eastAsia" w:ascii="楷体_GB2312" w:hAnsi="Times New Roman" w:eastAsia="楷体_GB2312" w:cs="Times New Roman"/>
          <w:color w:val="000000" w:themeColor="text1"/>
          <w:kern w:val="2"/>
          <w:sz w:val="32"/>
          <w:szCs w:val="32"/>
          <w:highlight w:val="none"/>
          <w:lang w:val="en-US" w:eastAsia="zh-CN" w:bidi="ar"/>
          <w14:textFill>
            <w14:solidFill>
              <w14:schemeClr w14:val="tx1"/>
            </w14:solidFill>
          </w14:textFill>
        </w:rPr>
        <w:t>（</w:t>
      </w:r>
      <w:r>
        <w:rPr>
          <w:rFonts w:hint="eastAsia" w:ascii="楷体_GB2312" w:hAnsi="Times New Roman" w:eastAsia="楷体_GB2312" w:cs="Times New Roman"/>
          <w:color w:val="000000" w:themeColor="text1"/>
          <w:kern w:val="2"/>
          <w:sz w:val="32"/>
          <w:szCs w:val="32"/>
          <w:highlight w:val="none"/>
          <w:lang w:val="en-US" w:eastAsia="zh-CN" w:bidi="ar"/>
          <w14:textFill>
            <w14:solidFill>
              <w14:schemeClr w14:val="tx1"/>
            </w14:solidFill>
          </w14:textFill>
        </w:rPr>
        <w:t>六</w:t>
      </w:r>
      <w:r>
        <w:rPr>
          <w:rFonts w:hint="eastAsia" w:ascii="楷体_GB2312" w:hAnsi="Times New Roman" w:eastAsia="楷体_GB2312" w:cs="Times New Roman"/>
          <w:color w:val="000000" w:themeColor="text1"/>
          <w:kern w:val="2"/>
          <w:sz w:val="32"/>
          <w:szCs w:val="32"/>
          <w:highlight w:val="none"/>
          <w:lang w:val="en-US" w:eastAsia="zh-CN" w:bidi="ar"/>
          <w14:textFill>
            <w14:solidFill>
              <w14:schemeClr w14:val="tx1"/>
            </w14:solidFill>
          </w14:textFill>
        </w:rPr>
        <w:t>）支持</w:t>
      </w:r>
      <w:r>
        <w:rPr>
          <w:rFonts w:hint="eastAsia" w:ascii="楷体_GB2312" w:hAnsi="Times New Roman" w:eastAsia="楷体_GB2312" w:cs="Times New Roman"/>
          <w:color w:val="000000" w:themeColor="text1"/>
          <w:spacing w:val="0"/>
          <w:sz w:val="32"/>
          <w:szCs w:val="32"/>
          <w:highlight w:val="none"/>
          <w:lang w:bidi="ar"/>
          <w14:textFill>
            <w14:solidFill>
              <w14:schemeClr w14:val="tx1"/>
            </w14:solidFill>
          </w14:textFill>
        </w:rPr>
        <w:t>检测认证类公共服务平台</w:t>
      </w:r>
      <w:r>
        <w:rPr>
          <w:rFonts w:hint="eastAsia" w:ascii="楷体_GB2312" w:hAnsi="Times New Roman" w:eastAsia="楷体_GB2312" w:cs="Times New Roman"/>
          <w:color w:val="000000" w:themeColor="text1"/>
          <w:spacing w:val="0"/>
          <w:sz w:val="32"/>
          <w:szCs w:val="32"/>
          <w:highlight w:val="none"/>
          <w:lang w:eastAsia="zh-CN" w:bidi="ar"/>
          <w14:textFill>
            <w14:solidFill>
              <w14:schemeClr w14:val="tx1"/>
            </w14:solidFill>
          </w14:textFill>
        </w:rPr>
        <w:t>建设</w:t>
      </w:r>
      <w:r>
        <w:rPr>
          <w:rFonts w:hint="eastAsia" w:ascii="楷体_GB2312" w:hAnsi="Times New Roman" w:eastAsia="楷体_GB2312" w:cs="Times New Roman"/>
          <w:color w:val="000000" w:themeColor="text1"/>
          <w:kern w:val="2"/>
          <w:sz w:val="32"/>
          <w:szCs w:val="32"/>
          <w:highlight w:val="none"/>
          <w:lang w:val="en-US" w:eastAsia="zh-CN" w:bidi="ar"/>
          <w14:textFill>
            <w14:solidFill>
              <w14:schemeClr w14:val="tx1"/>
            </w14:solidFill>
          </w14:textFill>
        </w:rPr>
        <w:t>。</w:t>
      </w:r>
      <w:r>
        <w:rPr>
          <w:rFonts w:hint="eastAsia" w:ascii="楷体_GB2312" w:hAnsi="Times New Roman" w:eastAsia="楷体_GB2312" w:cs="Times New Roman"/>
          <w:color w:val="000000" w:themeColor="text1"/>
          <w:kern w:val="2"/>
          <w:sz w:val="32"/>
          <w:szCs w:val="32"/>
          <w:highlight w:val="none"/>
          <w:lang w:val="en-US" w:eastAsia="zh" w:bidi="ar"/>
          <w14:textFill>
            <w14:solidFill>
              <w14:schemeClr w14:val="tx1"/>
            </w14:solidFill>
          </w14:textFill>
          <w:woUserID w:val="1"/>
        </w:rPr>
        <w:t>加强支持</w:t>
      </w: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检测认证类公共服务平台企业</w:t>
      </w:r>
      <w:r>
        <w:rPr>
          <w:rFonts w:hint="eastAsia" w:ascii="仿宋_GB2312" w:hAnsi="仿宋_GB2312" w:eastAsia="仿宋_GB2312" w:cs="仿宋_GB2312"/>
          <w:color w:val="000000" w:themeColor="text1"/>
          <w:spacing w:val="0"/>
          <w:sz w:val="32"/>
          <w:szCs w:val="32"/>
          <w:highlight w:val="none"/>
          <w:lang w:eastAsia="zh-CN" w:bidi="ar"/>
          <w14:textFill>
            <w14:solidFill>
              <w14:schemeClr w14:val="tx1"/>
            </w14:solidFill>
          </w14:textFill>
        </w:rPr>
        <w:t>或科研机构</w:t>
      </w:r>
      <w:r>
        <w:rPr>
          <w:rFonts w:hint="eastAsia" w:ascii="仿宋_GB2312" w:hAnsi="仿宋_GB2312" w:eastAsia="仿宋_GB2312" w:cs="仿宋_GB2312"/>
          <w:color w:val="000000" w:themeColor="text1"/>
          <w:spacing w:val="0"/>
          <w:sz w:val="32"/>
          <w:szCs w:val="32"/>
          <w:highlight w:val="none"/>
          <w:lang w:eastAsia="zh" w:bidi="ar"/>
          <w14:textFill>
            <w14:solidFill>
              <w14:schemeClr w14:val="tx1"/>
            </w14:solidFill>
          </w14:textFill>
          <w:woUserID w:val="1"/>
        </w:rPr>
        <w:t>建设，对其</w:t>
      </w: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投资采购的</w:t>
      </w:r>
      <w:r>
        <w:rPr>
          <w:rFonts w:hint="eastAsia" w:ascii="仿宋_GB2312" w:hAnsi="仿宋_GB2312" w:eastAsia="仿宋_GB2312" w:cs="仿宋_GB2312"/>
          <w:color w:val="000000" w:themeColor="text1"/>
          <w:spacing w:val="0"/>
          <w:sz w:val="32"/>
          <w:szCs w:val="32"/>
          <w:highlight w:val="none"/>
          <w:lang w:eastAsia="zh-CN" w:bidi="ar"/>
          <w14:textFill>
            <w14:solidFill>
              <w14:schemeClr w14:val="tx1"/>
            </w14:solidFill>
          </w14:textFill>
        </w:rPr>
        <w:t>新能源</w:t>
      </w: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认证相关设备（含软件）</w:t>
      </w:r>
      <w:r>
        <w:rPr>
          <w:rFonts w:hint="eastAsia" w:ascii="仿宋_GB2312" w:hAnsi="仿宋_GB2312" w:eastAsia="仿宋_GB2312" w:cs="仿宋_GB2312"/>
          <w:color w:val="000000" w:themeColor="text1"/>
          <w:spacing w:val="0"/>
          <w:sz w:val="32"/>
          <w:szCs w:val="32"/>
          <w:highlight w:val="none"/>
          <w:lang w:eastAsia="zh" w:bidi="ar"/>
          <w14:textFill>
            <w14:solidFill>
              <w14:schemeClr w14:val="tx1"/>
            </w14:solidFill>
          </w14:textFill>
          <w:woUserID w:val="1"/>
        </w:rPr>
        <w:t>按</w:t>
      </w:r>
      <w:r>
        <w:rPr>
          <w:rFonts w:hint="eastAsia" w:ascii="仿宋_GB2312" w:hAnsi="仿宋_GB2312" w:eastAsia="仿宋_GB2312" w:cs="仿宋_GB2312"/>
          <w:color w:val="000000" w:themeColor="text1"/>
          <w:spacing w:val="0"/>
          <w:sz w:val="32"/>
          <w:szCs w:val="32"/>
          <w:highlight w:val="none"/>
          <w:lang w:eastAsia="zh-CN" w:bidi="ar"/>
          <w14:textFill>
            <w14:solidFill>
              <w14:schemeClr w14:val="tx1"/>
            </w14:solidFill>
          </w14:textFill>
        </w:rPr>
        <w:t>实际</w:t>
      </w: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投资额</w:t>
      </w:r>
      <w:r>
        <w:rPr>
          <w:rFonts w:hint="eastAsia" w:ascii="仿宋_GB2312" w:hAnsi="仿宋_GB2312" w:eastAsia="仿宋_GB2312" w:cs="仿宋_GB2312"/>
          <w:color w:val="000000" w:themeColor="text1"/>
          <w:spacing w:val="0"/>
          <w:sz w:val="32"/>
          <w:szCs w:val="32"/>
          <w:highlight w:val="none"/>
          <w:lang w:eastAsia="zh-CN" w:bidi="ar"/>
          <w14:textFill>
            <w14:solidFill>
              <w14:schemeClr w14:val="tx1"/>
            </w14:solidFill>
          </w14:textFill>
        </w:rPr>
        <w:t>最高不超过</w:t>
      </w: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20%</w:t>
      </w:r>
      <w:r>
        <w:rPr>
          <w:rFonts w:hint="eastAsia" w:ascii="仿宋_GB2312" w:hAnsi="仿宋_GB2312" w:eastAsia="仿宋_GB2312" w:cs="仿宋_GB2312"/>
          <w:color w:val="000000" w:themeColor="text1"/>
          <w:spacing w:val="0"/>
          <w:sz w:val="32"/>
          <w:szCs w:val="32"/>
          <w:highlight w:val="none"/>
          <w:lang w:eastAsia="zh-CN" w:bidi="ar"/>
          <w14:textFill>
            <w14:solidFill>
              <w14:schemeClr w14:val="tx1"/>
            </w14:solidFill>
          </w14:textFill>
        </w:rPr>
        <w:t>给予支持</w:t>
      </w: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eastAsia="zh-CN" w:bidi="ar"/>
          <w14:textFill>
            <w14:solidFill>
              <w14:schemeClr w14:val="tx1"/>
            </w14:solidFill>
          </w14:textFill>
        </w:rPr>
        <w:t>每家企业每年奖励金额不超过</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200万元。</w:t>
      </w:r>
    </w:p>
    <w:p w14:paraId="56AFABD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黑体" w:hAnsi="黑体" w:eastAsia="黑体" w:cs="黑体"/>
          <w:color w:val="000000" w:themeColor="text1"/>
          <w:kern w:val="2"/>
          <w:sz w:val="32"/>
          <w:szCs w:val="32"/>
          <w:highlight w:val="none"/>
          <w:vertAlign w:val="baseline"/>
          <w:lang w:val="en-US" w:eastAsia="zh-CN" w:bidi="ar"/>
          <w14:textFill>
            <w14:solidFill>
              <w14:schemeClr w14:val="tx1"/>
            </w14:solidFill>
          </w14:textFill>
        </w:rPr>
      </w:pPr>
      <w:r>
        <w:rPr>
          <w:rFonts w:hint="eastAsia" w:ascii="黑体" w:hAnsi="黑体" w:eastAsia="黑体" w:cs="黑体"/>
          <w:color w:val="000000" w:themeColor="text1"/>
          <w:kern w:val="2"/>
          <w:sz w:val="32"/>
          <w:szCs w:val="32"/>
          <w:highlight w:val="none"/>
          <w:vertAlign w:val="baseline"/>
          <w:lang w:val="en-US" w:eastAsia="zh-CN" w:bidi="ar"/>
          <w14:textFill>
            <w14:solidFill>
              <w14:schemeClr w14:val="tx1"/>
            </w14:solidFill>
          </w14:textFill>
        </w:rPr>
        <w:t>四、支持加氢设施科学布局</w:t>
      </w:r>
    </w:p>
    <w:p w14:paraId="27D67C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pPr>
      <w:r>
        <w:rPr>
          <w:rFonts w:hint="eastAsia" w:ascii="楷体_GB2312" w:hAnsi="Times New Roman" w:eastAsia="楷体_GB2312" w:cs="Times New Roman"/>
          <w:color w:val="000000" w:themeColor="text1"/>
          <w:kern w:val="2"/>
          <w:sz w:val="32"/>
          <w:szCs w:val="32"/>
          <w:highlight w:val="none"/>
          <w:vertAlign w:val="baseline"/>
          <w:lang w:val="en-US" w:eastAsia="zh-CN" w:bidi="ar"/>
          <w14:textFill>
            <w14:solidFill>
              <w14:schemeClr w14:val="tx1"/>
            </w14:solidFill>
          </w14:textFill>
        </w:rPr>
        <w:t>（</w:t>
      </w:r>
      <w:r>
        <w:rPr>
          <w:rFonts w:hint="eastAsia" w:ascii="楷体_GB2312" w:hAnsi="Times New Roman" w:eastAsia="楷体_GB2312" w:cs="Times New Roman"/>
          <w:color w:val="000000" w:themeColor="text1"/>
          <w:kern w:val="2"/>
          <w:sz w:val="32"/>
          <w:szCs w:val="32"/>
          <w:highlight w:val="none"/>
          <w:vertAlign w:val="baseline"/>
          <w:lang w:val="en-US" w:eastAsia="zh-CN" w:bidi="ar"/>
          <w14:textFill>
            <w14:solidFill>
              <w14:schemeClr w14:val="tx1"/>
            </w14:solidFill>
          </w14:textFill>
        </w:rPr>
        <w:t>七</w:t>
      </w:r>
      <w:r>
        <w:rPr>
          <w:rFonts w:hint="eastAsia" w:ascii="楷体_GB2312" w:hAnsi="Times New Roman" w:eastAsia="楷体_GB2312" w:cs="Times New Roman"/>
          <w:color w:val="000000" w:themeColor="text1"/>
          <w:kern w:val="2"/>
          <w:sz w:val="32"/>
          <w:szCs w:val="32"/>
          <w:highlight w:val="none"/>
          <w:vertAlign w:val="baseline"/>
          <w:lang w:val="en-US" w:eastAsia="zh-CN" w:bidi="ar"/>
          <w14:textFill>
            <w14:solidFill>
              <w14:schemeClr w14:val="tx1"/>
            </w14:solidFill>
          </w14:textFill>
        </w:rPr>
        <w:t>）支持加氢站建设。</w:t>
      </w:r>
      <w:r>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t>鼓励利用现有加油站融合建设油氢混合站，在规划立项等方面给予优先支持。对自本措施印发后完成竣工验收并取得相关许可证且日加氢能力在500kg以上的固定式加氢站或综合供能站，按照设备投资额的20%给予补助，单个加氢站最高不超过100万元。获得财政补贴的加氢站在首笔补贴到位后5年内停止加氢服务的，应返还补贴资金。</w:t>
      </w:r>
    </w:p>
    <w:p w14:paraId="4BADD6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黑体" w:hAnsi="黑体" w:eastAsia="黑体" w:cs="黑体"/>
          <w:color w:val="000000" w:themeColor="text1"/>
          <w:kern w:val="2"/>
          <w:sz w:val="32"/>
          <w:szCs w:val="32"/>
          <w:highlight w:val="none"/>
          <w:vertAlign w:val="baseline"/>
          <w:lang w:val="en-US" w:eastAsia="zh-CN" w:bidi="ar"/>
          <w14:textFill>
            <w14:solidFill>
              <w14:schemeClr w14:val="tx1"/>
            </w14:solidFill>
          </w14:textFill>
        </w:rPr>
      </w:pPr>
      <w:r>
        <w:rPr>
          <w:rFonts w:hint="eastAsia" w:ascii="黑体" w:hAnsi="黑体" w:eastAsia="黑体" w:cs="黑体"/>
          <w:color w:val="000000" w:themeColor="text1"/>
          <w:kern w:val="2"/>
          <w:sz w:val="32"/>
          <w:szCs w:val="32"/>
          <w:highlight w:val="none"/>
          <w:vertAlign w:val="baseline"/>
          <w:lang w:val="en-US" w:eastAsia="zh-CN" w:bidi="ar"/>
          <w14:textFill>
            <w14:solidFill>
              <w14:schemeClr w14:val="tx1"/>
            </w14:solidFill>
          </w14:textFill>
        </w:rPr>
        <w:t>五、降低加氢成本</w:t>
      </w:r>
    </w:p>
    <w:p w14:paraId="5E1400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pPr>
      <w:r>
        <w:rPr>
          <w:rFonts w:hint="eastAsia" w:ascii="楷体_GB2312" w:hAnsi="Times New Roman" w:eastAsia="楷体_GB2312" w:cs="Times New Roman"/>
          <w:color w:val="000000" w:themeColor="text1"/>
          <w:kern w:val="2"/>
          <w:sz w:val="32"/>
          <w:szCs w:val="32"/>
          <w:highlight w:val="none"/>
          <w:vertAlign w:val="baseline"/>
          <w:lang w:val="en-US" w:eastAsia="zh-CN" w:bidi="ar"/>
          <w14:textFill>
            <w14:solidFill>
              <w14:schemeClr w14:val="tx1"/>
            </w14:solidFill>
          </w14:textFill>
        </w:rPr>
        <w:t>（</w:t>
      </w:r>
      <w:r>
        <w:rPr>
          <w:rFonts w:hint="eastAsia" w:ascii="楷体_GB2312" w:hAnsi="Times New Roman" w:eastAsia="楷体_GB2312" w:cs="Times New Roman"/>
          <w:color w:val="000000" w:themeColor="text1"/>
          <w:kern w:val="2"/>
          <w:sz w:val="32"/>
          <w:szCs w:val="32"/>
          <w:highlight w:val="none"/>
          <w:vertAlign w:val="baseline"/>
          <w:lang w:val="en-US" w:eastAsia="zh-CN" w:bidi="ar"/>
          <w14:textFill>
            <w14:solidFill>
              <w14:schemeClr w14:val="tx1"/>
            </w14:solidFill>
          </w14:textFill>
        </w:rPr>
        <w:t>八</w:t>
      </w:r>
      <w:r>
        <w:rPr>
          <w:rFonts w:hint="eastAsia" w:ascii="楷体_GB2312" w:hAnsi="Times New Roman" w:eastAsia="楷体_GB2312" w:cs="Times New Roman"/>
          <w:color w:val="000000" w:themeColor="text1"/>
          <w:kern w:val="2"/>
          <w:sz w:val="32"/>
          <w:szCs w:val="32"/>
          <w:highlight w:val="none"/>
          <w:vertAlign w:val="baseline"/>
          <w:lang w:val="en-US" w:eastAsia="zh-CN" w:bidi="ar"/>
          <w14:textFill>
            <w14:solidFill>
              <w14:schemeClr w14:val="tx1"/>
            </w14:solidFill>
          </w14:textFill>
        </w:rPr>
        <w:t>）降低加氢成本。</w:t>
      </w:r>
      <w:r>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t>对自本措施印发起后正式投入运营的加氢站</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，氢气</w:t>
      </w:r>
      <w:r>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t>终端售价2025年底前低于28元/公斤的、终端售价2026年底前低于26元/公斤的，园区按照氢气实际销售量分别给予4元/公斤、3元/公斤的标准补贴给加氢站，每站每年补贴不超过150万元。</w:t>
      </w:r>
    </w:p>
    <w:p w14:paraId="3E4D1C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黑体" w:hAnsi="黑体" w:eastAsia="黑体" w:cs="黑体"/>
          <w:color w:val="000000" w:themeColor="text1"/>
          <w:sz w:val="32"/>
          <w:szCs w:val="32"/>
          <w:highlight w:val="none"/>
          <w:vertAlign w:val="baseline"/>
          <w:lang w:val="en-US" w:eastAsia="zh-CN" w:bidi="ar"/>
          <w14:textFill>
            <w14:solidFill>
              <w14:schemeClr w14:val="tx1"/>
            </w14:solidFill>
          </w14:textFill>
        </w:rPr>
      </w:pPr>
      <w:r>
        <w:rPr>
          <w:rFonts w:hint="eastAsia" w:ascii="黑体" w:hAnsi="黑体" w:eastAsia="黑体" w:cs="黑体"/>
          <w:color w:val="000000" w:themeColor="text1"/>
          <w:kern w:val="2"/>
          <w:sz w:val="32"/>
          <w:szCs w:val="32"/>
          <w:highlight w:val="none"/>
          <w:vertAlign w:val="baseline"/>
          <w:lang w:val="en-US" w:eastAsia="zh-CN" w:bidi="ar"/>
          <w14:textFill>
            <w14:solidFill>
              <w14:schemeClr w14:val="tx1"/>
            </w14:solidFill>
          </w14:textFill>
        </w:rPr>
        <w:t>六、支持新能源</w:t>
      </w:r>
      <w:r>
        <w:rPr>
          <w:rFonts w:hint="eastAsia" w:ascii="黑体" w:hAnsi="黑体" w:eastAsia="黑体" w:cs="黑体"/>
          <w:color w:val="000000" w:themeColor="text1"/>
          <w:sz w:val="32"/>
          <w:szCs w:val="32"/>
          <w:highlight w:val="none"/>
          <w:vertAlign w:val="baseline"/>
          <w:lang w:val="en-US" w:eastAsia="zh-CN" w:bidi="ar"/>
          <w14:textFill>
            <w14:solidFill>
              <w14:schemeClr w14:val="tx1"/>
            </w14:solidFill>
          </w14:textFill>
        </w:rPr>
        <w:t>首台（套）重大技术装备研制与推广应用</w:t>
      </w:r>
    </w:p>
    <w:p w14:paraId="19F5095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pPr>
      <w:r>
        <w:rPr>
          <w:rFonts w:hint="eastAsia" w:ascii="楷体_GB2312" w:hAnsi="Times New Roman" w:eastAsia="楷体_GB2312" w:cs="Times New Roman"/>
          <w:color w:val="000000" w:themeColor="text1"/>
          <w:sz w:val="32"/>
          <w:szCs w:val="32"/>
          <w:highlight w:val="none"/>
          <w:vertAlign w:val="baseline"/>
          <w:lang w:val="en-US" w:eastAsia="zh-CN" w:bidi="ar"/>
          <w14:textFill>
            <w14:solidFill>
              <w14:schemeClr w14:val="tx1"/>
            </w14:solidFill>
          </w14:textFill>
        </w:rPr>
        <w:t>（</w:t>
      </w:r>
      <w:r>
        <w:rPr>
          <w:rFonts w:hint="eastAsia" w:ascii="楷体_GB2312" w:hAnsi="Times New Roman" w:eastAsia="楷体_GB2312" w:cs="Times New Roman"/>
          <w:color w:val="000000" w:themeColor="text1"/>
          <w:sz w:val="32"/>
          <w:szCs w:val="32"/>
          <w:highlight w:val="none"/>
          <w:vertAlign w:val="baseline"/>
          <w:lang w:val="en-US" w:eastAsia="zh-CN" w:bidi="ar"/>
          <w14:textFill>
            <w14:solidFill>
              <w14:schemeClr w14:val="tx1"/>
            </w14:solidFill>
          </w14:textFill>
        </w:rPr>
        <w:t>九</w:t>
      </w:r>
      <w:r>
        <w:rPr>
          <w:rFonts w:hint="eastAsia" w:ascii="楷体_GB2312" w:hAnsi="Times New Roman" w:eastAsia="楷体_GB2312" w:cs="Times New Roman"/>
          <w:color w:val="000000" w:themeColor="text1"/>
          <w:sz w:val="32"/>
          <w:szCs w:val="32"/>
          <w:highlight w:val="none"/>
          <w:vertAlign w:val="baseline"/>
          <w:lang w:val="en-US" w:eastAsia="zh-CN" w:bidi="ar"/>
          <w14:textFill>
            <w14:solidFill>
              <w14:schemeClr w14:val="tx1"/>
            </w14:solidFill>
          </w14:textFill>
        </w:rPr>
        <w:t>）</w:t>
      </w:r>
      <w:r>
        <w:rPr>
          <w:rFonts w:hint="eastAsia" w:ascii="楷体_GB2312" w:hAnsi="Times New Roman" w:eastAsia="楷体_GB2312" w:cs="Times New Roman"/>
          <w:color w:val="000000" w:themeColor="text1"/>
          <w:kern w:val="2"/>
          <w:sz w:val="32"/>
          <w:szCs w:val="32"/>
          <w:highlight w:val="none"/>
          <w:vertAlign w:val="baseline"/>
          <w:lang w:val="en-US" w:eastAsia="zh-CN" w:bidi="ar"/>
          <w14:textFill>
            <w14:solidFill>
              <w14:schemeClr w14:val="tx1"/>
            </w14:solidFill>
          </w14:textFill>
        </w:rPr>
        <w:t>支持新能源</w:t>
      </w:r>
      <w:r>
        <w:rPr>
          <w:rFonts w:hint="eastAsia" w:ascii="楷体_GB2312" w:hAnsi="Times New Roman" w:eastAsia="楷体_GB2312" w:cs="Times New Roman"/>
          <w:color w:val="000000" w:themeColor="text1"/>
          <w:sz w:val="32"/>
          <w:szCs w:val="32"/>
          <w:highlight w:val="none"/>
          <w:vertAlign w:val="baseline"/>
          <w:lang w:val="en-US" w:eastAsia="zh-CN" w:bidi="ar"/>
          <w14:textFill>
            <w14:solidFill>
              <w14:schemeClr w14:val="tx1"/>
            </w14:solidFill>
          </w14:textFill>
        </w:rPr>
        <w:t>首台（套）重大技术装备研制与推广应用。</w:t>
      </w:r>
      <w:r>
        <w:rPr>
          <w:rFonts w:hint="eastAsia" w:ascii="仿宋_GB2312" w:hAnsi="仿宋_GB2312" w:eastAsia="仿宋_GB2312" w:cs="仿宋_GB2312"/>
          <w:color w:val="000000" w:themeColor="text1"/>
          <w:sz w:val="32"/>
          <w:szCs w:val="32"/>
          <w:highlight w:val="none"/>
          <w:vertAlign w:val="baseline"/>
          <w:lang w:val="en-US" w:eastAsia="zh-CN" w:bidi="ar"/>
          <w14:textFill>
            <w14:solidFill>
              <w14:schemeClr w14:val="tx1"/>
            </w14:solidFill>
          </w14:textFill>
        </w:rPr>
        <w:t>对</w:t>
      </w:r>
      <w:r>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t>符合支持条件的新能源产业首台（套）项目，</w:t>
      </w:r>
      <w:r>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t>按</w:t>
      </w:r>
      <w:r>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t>不超过首台（套）装备售价（总成或核心部件按首批次产品销售额）20%给予奖励，成套装备奖励最高不超过300万元/套，单台设备奖励最高不超过100万元/台，总成或核心部件奖励最高不超过50万元/批。</w:t>
      </w:r>
    </w:p>
    <w:p w14:paraId="768EA4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黑体" w:hAnsi="黑体" w:eastAsia="黑体" w:cs="黑体"/>
          <w:color w:val="000000" w:themeColor="text1"/>
          <w:kern w:val="2"/>
          <w:sz w:val="32"/>
          <w:szCs w:val="32"/>
          <w:highlight w:val="none"/>
          <w:vertAlign w:val="baseline"/>
          <w:lang w:val="en-US" w:eastAsia="zh-CN" w:bidi="ar"/>
          <w14:textFill>
            <w14:solidFill>
              <w14:schemeClr w14:val="tx1"/>
            </w14:solidFill>
          </w14:textFill>
        </w:rPr>
      </w:pPr>
      <w:r>
        <w:rPr>
          <w:rFonts w:hint="eastAsia" w:ascii="黑体" w:hAnsi="黑体" w:eastAsia="黑体" w:cs="黑体"/>
          <w:color w:val="000000" w:themeColor="text1"/>
          <w:kern w:val="2"/>
          <w:sz w:val="32"/>
          <w:szCs w:val="32"/>
          <w:highlight w:val="none"/>
          <w:vertAlign w:val="baseline"/>
          <w:lang w:val="en-US" w:eastAsia="zh-CN" w:bidi="ar"/>
          <w14:textFill>
            <w14:solidFill>
              <w14:schemeClr w14:val="tx1"/>
            </w14:solidFill>
          </w14:textFill>
        </w:rPr>
        <w:t>七、支持新能源车辆推广应用</w:t>
      </w:r>
    </w:p>
    <w:p w14:paraId="6144D5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pPr>
      <w:r>
        <w:rPr>
          <w:rFonts w:hint="eastAsia" w:ascii="楷体_GB2312" w:hAnsi="Times New Roman" w:eastAsia="楷体_GB2312" w:cs="Times New Roman"/>
          <w:b w:val="0"/>
          <w:bCs w:val="0"/>
          <w:color w:val="000000" w:themeColor="text1"/>
          <w:kern w:val="2"/>
          <w:sz w:val="32"/>
          <w:szCs w:val="32"/>
          <w:highlight w:val="none"/>
          <w:vertAlign w:val="baseline"/>
          <w:lang w:val="en-US" w:eastAsia="zh-CN" w:bidi="ar"/>
          <w14:textFill>
            <w14:solidFill>
              <w14:schemeClr w14:val="tx1"/>
            </w14:solidFill>
          </w14:textFill>
        </w:rPr>
        <w:t>（十）</w:t>
      </w:r>
      <w:r>
        <w:rPr>
          <w:rFonts w:hint="eastAsia" w:ascii="楷体_GB2312" w:hAnsi="Times New Roman" w:eastAsia="楷体_GB2312" w:cs="Times New Roman"/>
          <w:color w:val="000000" w:themeColor="text1"/>
          <w:kern w:val="2"/>
          <w:sz w:val="32"/>
          <w:szCs w:val="32"/>
          <w:highlight w:val="none"/>
          <w:vertAlign w:val="baseline"/>
          <w:lang w:val="en-US" w:eastAsia="zh-CN" w:bidi="ar"/>
          <w14:textFill>
            <w14:solidFill>
              <w14:schemeClr w14:val="tx1"/>
            </w14:solidFill>
          </w14:textFill>
        </w:rPr>
        <w:t>场景化车辆示范补贴。</w:t>
      </w:r>
      <w:r>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t>本措施实施后，新购置</w:t>
      </w:r>
      <w:r>
        <w:rPr>
          <w:rFonts w:hint="eastAsia" w:ascii="仿宋_GB2312" w:hAnsi="仿宋_GB2312" w:eastAsia="仿宋_GB2312" w:cs="仿宋_GB2312"/>
          <w:color w:val="000000" w:themeColor="text1"/>
          <w:kern w:val="2"/>
          <w:sz w:val="32"/>
          <w:szCs w:val="32"/>
          <w:highlight w:val="none"/>
          <w:vertAlign w:val="baseline"/>
          <w:lang w:val="en-US" w:eastAsia="zh" w:bidi="ar"/>
          <w14:textFill>
            <w14:solidFill>
              <w14:schemeClr w14:val="tx1"/>
            </w14:solidFill>
          </w14:textFill>
          <w:woUserID w:val="1"/>
        </w:rPr>
        <w:t>并</w:t>
      </w:r>
      <w:r>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t>接入国家、省、市燃料电池汽车示范应用相关信息化平台的轻、中、重型氢燃料电池车辆三种车型，在每个自然年内按行驶里程予以运营补贴，不足1公里的按1公里计算（补贴详情见附件）。本政策有效期内该项补贴总额不超过</w:t>
      </w:r>
      <w:r>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t>15</w:t>
      </w:r>
      <w:r>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t>00万元，</w:t>
      </w:r>
      <w:r>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t>如申请金额超过1500万元，则按比例分配。</w:t>
      </w:r>
    </w:p>
    <w:p w14:paraId="23AE43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黑体" w:hAnsi="黑体" w:eastAsia="黑体" w:cs="黑体"/>
          <w:bCs/>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bCs/>
          <w:color w:val="000000" w:themeColor="text1"/>
          <w:sz w:val="32"/>
          <w:szCs w:val="32"/>
          <w:highlight w:val="none"/>
          <w:shd w:val="clear" w:color="auto" w:fill="FFFFFF"/>
          <w14:textFill>
            <w14:solidFill>
              <w14:schemeClr w14:val="tx1"/>
            </w14:solidFill>
          </w14:textFill>
        </w:rPr>
        <w:t>八、支持产业化、规模化发展</w:t>
      </w:r>
    </w:p>
    <w:p w14:paraId="6AC69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bCs/>
          <w:color w:val="000000" w:themeColor="text1"/>
          <w:sz w:val="32"/>
          <w:szCs w:val="32"/>
          <w:highlight w:val="none"/>
          <w:shd w:val="clear" w:color="auto" w:fill="FFFFFF"/>
          <w14:textFill>
            <w14:solidFill>
              <w14:schemeClr w14:val="tx1"/>
            </w14:solidFill>
          </w14:textFill>
        </w:rPr>
      </w:pPr>
      <w:r>
        <w:rPr>
          <w:rFonts w:hint="eastAsia" w:ascii="楷体_GB2312" w:hAnsi="Times New Roman" w:eastAsia="楷体_GB2312" w:cs="Times New Roman"/>
          <w:b w:val="0"/>
          <w:bCs w:val="0"/>
          <w:color w:val="000000" w:themeColor="text1"/>
          <w:kern w:val="2"/>
          <w:sz w:val="32"/>
          <w:szCs w:val="32"/>
          <w:highlight w:val="none"/>
          <w:vertAlign w:val="baseline"/>
          <w:lang w:val="en-US" w:eastAsia="zh-CN" w:bidi="ar"/>
          <w14:textFill>
            <w14:solidFill>
              <w14:schemeClr w14:val="tx1"/>
            </w14:solidFill>
          </w14:textFill>
        </w:rPr>
        <w:t>（十一）</w:t>
      </w:r>
      <w:r>
        <w:rPr>
          <w:rFonts w:hint="eastAsia" w:ascii="楷体_GB2312" w:hAnsi="Times New Roman" w:eastAsia="楷体_GB2312" w:cs="Times New Roman"/>
          <w:color w:val="000000" w:themeColor="text1"/>
          <w:kern w:val="2"/>
          <w:sz w:val="32"/>
          <w:szCs w:val="32"/>
          <w:highlight w:val="none"/>
          <w:vertAlign w:val="baseline"/>
          <w:lang w:val="en-US" w:eastAsia="zh-CN" w:bidi="ar"/>
          <w14:textFill>
            <w14:solidFill>
              <w14:schemeClr w14:val="tx1"/>
            </w14:solidFill>
          </w14:textFill>
        </w:rPr>
        <w:t>支持新能源汽车产业化、规模化发展。</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自本措施印发之日起，对</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新能源汽车整车生产</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企业在云浮销售交付的</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新能源汽车</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进行奖励：</w:t>
      </w:r>
    </w:p>
    <w:p w14:paraId="22B971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pP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1.对</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单</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销售金额在</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20</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万元（含）以上（含税，下同）的</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新能源汽车</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，前</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300</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辆新能源汽车</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每</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奖励</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10000</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元，第</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301</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至</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1000辆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每</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奖励</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8000</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元，第</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1001辆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后的每</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奖励</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5000</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元</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w:t>
      </w:r>
    </w:p>
    <w:p w14:paraId="6E3A1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pP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对单</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销售金额在</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10</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万元（含）至</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20</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万元的</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新能源汽车</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，前</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300辆</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新能源汽车</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每</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奖励</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8</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000</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元，第</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301</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至</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1000辆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每</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奖励</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6000</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元，第</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1001辆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后的每</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奖励</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3000</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元</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w:t>
      </w:r>
    </w:p>
    <w:p w14:paraId="5153E1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bCs/>
          <w:color w:val="000000" w:themeColor="text1"/>
          <w:sz w:val="32"/>
          <w:szCs w:val="32"/>
          <w:highlight w:val="none"/>
          <w:shd w:val="clear" w:color="auto" w:fill="FFFFFF"/>
          <w14:textFill>
            <w14:solidFill>
              <w14:schemeClr w14:val="tx1"/>
            </w14:solidFill>
          </w14:textFill>
        </w:rPr>
      </w:pP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对单</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销售金额在</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5万元（含）至</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10</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万元</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的</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新能源汽车</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，前</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300辆</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新能源汽车</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每</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奖励</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3000</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元，第</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301</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至</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1000</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每</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奖励</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1500</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元，第</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1001辆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后的每</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奖励</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1000</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元。</w:t>
      </w:r>
    </w:p>
    <w:p w14:paraId="422FD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Cs/>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4.</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同一生产主体或由同一实控人控制的企业奖励总量不超</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过</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1500</w:t>
      </w:r>
      <w:r>
        <w:rPr>
          <w:rFonts w:hint="eastAsia" w:ascii="仿宋_GB2312" w:eastAsia="仿宋_GB2312"/>
          <w:bCs/>
          <w:color w:val="000000" w:themeColor="text1"/>
          <w:sz w:val="32"/>
          <w:szCs w:val="32"/>
          <w:highlight w:val="none"/>
          <w:shd w:val="clear" w:color="auto" w:fill="FFFFFF"/>
          <w:lang w:eastAsia="zh-CN"/>
          <w14:textFill>
            <w14:solidFill>
              <w14:schemeClr w14:val="tx1"/>
            </w14:solidFill>
          </w14:textFill>
        </w:rPr>
        <w:t>辆</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，该项累计奖励金额不超过</w:t>
      </w:r>
      <w:r>
        <w:rPr>
          <w:rFonts w:hint="eastAsia" w:ascii="仿宋_GB2312" w:eastAsia="仿宋_GB2312"/>
          <w:bCs/>
          <w:color w:val="000000" w:themeColor="text1"/>
          <w:sz w:val="32"/>
          <w:szCs w:val="32"/>
          <w:highlight w:val="none"/>
          <w:shd w:val="clear" w:color="auto" w:fill="FFFFFF"/>
          <w:lang w:val="en-US" w:eastAsia="zh-CN"/>
          <w14:textFill>
            <w14:solidFill>
              <w14:schemeClr w14:val="tx1"/>
            </w14:solidFill>
          </w14:textFill>
        </w:rPr>
        <w:t>2000</w:t>
      </w:r>
      <w:r>
        <w:rPr>
          <w:rFonts w:hint="eastAsia" w:ascii="仿宋_GB2312" w:eastAsia="仿宋_GB2312"/>
          <w:bCs/>
          <w:color w:val="000000" w:themeColor="text1"/>
          <w:sz w:val="32"/>
          <w:szCs w:val="32"/>
          <w:highlight w:val="none"/>
          <w:shd w:val="clear" w:color="auto" w:fill="FFFFFF"/>
          <w14:textFill>
            <w14:solidFill>
              <w14:schemeClr w14:val="tx1"/>
            </w14:solidFill>
          </w14:textFill>
        </w:rPr>
        <w:t>万元。</w:t>
      </w:r>
    </w:p>
    <w:p w14:paraId="22405D5A">
      <w:pPr>
        <w:keepNext w:val="0"/>
        <w:keepLines w:val="0"/>
        <w:pageBreakBefore w:val="0"/>
        <w:widowControl/>
        <w:numPr>
          <w:ilvl w:val="-1"/>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color w:val="000000" w:themeColor="text1"/>
          <w:kern w:val="2"/>
          <w:sz w:val="32"/>
          <w:szCs w:val="32"/>
          <w:highlight w:val="none"/>
          <w:vertAlign w:val="baseline"/>
          <w:lang w:val="en-US" w:eastAsia="zh-CN" w:bidi="ar"/>
          <w14:textFill>
            <w14:solidFill>
              <w14:schemeClr w14:val="tx1"/>
            </w14:solidFill>
          </w14:textFill>
        </w:rPr>
      </w:pPr>
      <w:r>
        <w:rPr>
          <w:rFonts w:hint="eastAsia" w:ascii="黑体" w:hAnsi="黑体" w:eastAsia="黑体" w:cs="黑体"/>
          <w:color w:val="000000" w:themeColor="text1"/>
          <w:kern w:val="2"/>
          <w:sz w:val="32"/>
          <w:szCs w:val="32"/>
          <w:highlight w:val="none"/>
          <w:vertAlign w:val="baseline"/>
          <w:lang w:val="en-US" w:eastAsia="zh-CN" w:bidi="ar"/>
          <w14:textFill>
            <w14:solidFill>
              <w14:schemeClr w14:val="tx1"/>
            </w14:solidFill>
          </w14:textFill>
        </w:rPr>
        <w:t>九</w:t>
      </w:r>
      <w:r>
        <w:rPr>
          <w:rFonts w:hint="eastAsia" w:ascii="黑体" w:hAnsi="黑体" w:eastAsia="黑体" w:cs="黑体"/>
          <w:color w:val="000000" w:themeColor="text1"/>
          <w:kern w:val="2"/>
          <w:sz w:val="32"/>
          <w:szCs w:val="32"/>
          <w:highlight w:val="none"/>
          <w:vertAlign w:val="baseline"/>
          <w:lang w:val="en-US" w:eastAsia="zh-CN" w:bidi="ar"/>
          <w14:textFill>
            <w14:solidFill>
              <w14:schemeClr w14:val="tx1"/>
            </w14:solidFill>
          </w14:textFill>
        </w:rPr>
        <w:t>、强化金融支持</w:t>
      </w:r>
    </w:p>
    <w:p w14:paraId="537E7D1C">
      <w:pPr>
        <w:keepNext w:val="0"/>
        <w:keepLines w:val="0"/>
        <w:pageBreakBefore w:val="0"/>
        <w:widowControl/>
        <w:numPr>
          <w:ilvl w:val="-1"/>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bCs/>
          <w:color w:val="000000" w:themeColor="text1"/>
          <w:sz w:val="32"/>
          <w:szCs w:val="32"/>
          <w:highlight w:val="none"/>
          <w:shd w:val="clear" w:color="auto" w:fill="FFFFFF"/>
          <w:lang w:val="en-US" w:eastAsia="zh-CN"/>
          <w14:textFill>
            <w14:solidFill>
              <w14:schemeClr w14:val="tx1"/>
            </w14:solidFill>
          </w14:textFill>
        </w:rPr>
      </w:pPr>
      <w:r>
        <w:rPr>
          <w:rFonts w:hint="eastAsia" w:ascii="楷体_GB2312" w:hAnsi="Times New Roman" w:eastAsia="楷体_GB2312" w:cs="Times New Roman"/>
          <w:color w:val="000000" w:themeColor="text1"/>
          <w:kern w:val="2"/>
          <w:sz w:val="32"/>
          <w:szCs w:val="32"/>
          <w:highlight w:val="none"/>
          <w:vertAlign w:val="baseline"/>
          <w:lang w:val="en-US" w:eastAsia="zh-CN" w:bidi="ar"/>
          <w14:textFill>
            <w14:solidFill>
              <w14:schemeClr w14:val="tx1"/>
            </w14:solidFill>
          </w14:textFill>
        </w:rPr>
        <w:t>（</w:t>
      </w:r>
      <w:r>
        <w:rPr>
          <w:rFonts w:hint="eastAsia" w:ascii="楷体_GB2312" w:hAnsi="Times New Roman" w:eastAsia="楷体_GB2312" w:cs="Times New Roman"/>
          <w:color w:val="000000" w:themeColor="text1"/>
          <w:kern w:val="2"/>
          <w:sz w:val="32"/>
          <w:szCs w:val="32"/>
          <w:highlight w:val="none"/>
          <w:vertAlign w:val="baseline"/>
          <w:lang w:val="en-US" w:eastAsia="zh-CN" w:bidi="ar"/>
          <w14:textFill>
            <w14:solidFill>
              <w14:schemeClr w14:val="tx1"/>
            </w14:solidFill>
          </w14:textFill>
        </w:rPr>
        <w:t>十二</w:t>
      </w:r>
      <w:r>
        <w:rPr>
          <w:rFonts w:hint="eastAsia" w:ascii="楷体_GB2312" w:hAnsi="Times New Roman" w:eastAsia="楷体_GB2312" w:cs="Times New Roman"/>
          <w:color w:val="000000" w:themeColor="text1"/>
          <w:kern w:val="2"/>
          <w:sz w:val="32"/>
          <w:szCs w:val="32"/>
          <w:highlight w:val="none"/>
          <w:vertAlign w:val="baseline"/>
          <w:lang w:val="en-US" w:eastAsia="zh-CN" w:bidi="ar"/>
          <w14:textFill>
            <w14:solidFill>
              <w14:schemeClr w14:val="tx1"/>
            </w14:solidFill>
          </w14:textFill>
        </w:rPr>
        <w:t>）加强对新能源产业的金融支持。</w:t>
      </w:r>
      <w:r>
        <w:rPr>
          <w:rFonts w:hint="eastAsia" w:ascii="Times New Roman" w:hAnsi="Times New Roman" w:eastAsia="仿宋_GB2312"/>
          <w:bCs/>
          <w:color w:val="000000" w:themeColor="text1"/>
          <w:sz w:val="32"/>
          <w:szCs w:val="32"/>
          <w:highlight w:val="none"/>
          <w:shd w:val="clear" w:color="auto" w:fill="FFFFFF"/>
          <w:lang w:val="en-US" w:eastAsia="zh-CN"/>
          <w14:textFill>
            <w14:solidFill>
              <w14:schemeClr w14:val="tx1"/>
            </w14:solidFill>
          </w14:textFill>
        </w:rPr>
        <w:t>鼓励引导金融机构加大新能源企业融资的支持力度，合理降低企业融资成本；鼓励引导园区新能源产业发展壮大，按照市场化原则争取云浮市科技创新引导基金、佛云协作产投基金支持。新能源产业项目申请固定资产贷款的，根据每年实际发生的贷款额，按照贷款市场报价利率（LPR）计算利息金额的</w:t>
      </w:r>
      <w:r>
        <w:rPr>
          <w:rFonts w:hint="eastAsia" w:ascii="Times New Roman" w:hAnsi="Times New Roman" w:eastAsia="仿宋_GB2312"/>
          <w:bCs/>
          <w:color w:val="000000" w:themeColor="text1"/>
          <w:sz w:val="32"/>
          <w:szCs w:val="32"/>
          <w:highlight w:val="none"/>
          <w:shd w:val="clear" w:color="auto" w:fill="FFFFFF"/>
          <w:lang w:val="en-US" w:eastAsia="zh-CN"/>
          <w14:textFill>
            <w14:solidFill>
              <w14:schemeClr w14:val="tx1"/>
            </w14:solidFill>
          </w14:textFill>
        </w:rPr>
        <w:t>5</w:t>
      </w:r>
      <w:r>
        <w:rPr>
          <w:rFonts w:hint="eastAsia" w:ascii="Times New Roman" w:hAnsi="Times New Roman" w:eastAsia="仿宋_GB2312"/>
          <w:bCs/>
          <w:color w:val="000000" w:themeColor="text1"/>
          <w:sz w:val="32"/>
          <w:szCs w:val="32"/>
          <w:highlight w:val="none"/>
          <w:shd w:val="clear" w:color="auto" w:fill="FFFFFF"/>
          <w:lang w:val="en-US" w:eastAsia="zh-CN"/>
          <w14:textFill>
            <w14:solidFill>
              <w14:schemeClr w14:val="tx1"/>
            </w14:solidFill>
          </w14:textFill>
        </w:rPr>
        <w:t>0%给予贴息，单个企业每年补贴不超过200万元，累计享受期限不超过3年。</w:t>
      </w:r>
    </w:p>
    <w:p w14:paraId="4FA2E232">
      <w:pPr>
        <w:keepNext w:val="0"/>
        <w:keepLines w:val="0"/>
        <w:pageBreakBefore w:val="0"/>
        <w:widowControl/>
        <w:kinsoku/>
        <w:wordWrap/>
        <w:overflowPunct/>
        <w:topLinePunct w:val="0"/>
        <w:autoSpaceDE/>
        <w:autoSpaceDN/>
        <w:bidi w:val="0"/>
        <w:adjustRightInd/>
        <w:spacing w:line="600" w:lineRule="exact"/>
        <w:ind w:leftChars="0" w:firstLine="640" w:firstLineChars="200"/>
        <w:textAlignment w:val="auto"/>
        <w:rPr>
          <w:rFonts w:hint="eastAsia" w:ascii="黑体" w:hAnsi="黑体" w:eastAsia="黑体" w:cs="黑体"/>
          <w:color w:val="000000" w:themeColor="text1"/>
          <w:spacing w:val="0"/>
          <w:sz w:val="32"/>
          <w:szCs w:val="32"/>
          <w:highlight w:val="none"/>
          <w:lang w:eastAsia="zh-CN"/>
          <w14:textFill>
            <w14:solidFill>
              <w14:schemeClr w14:val="tx1"/>
            </w14:solidFill>
          </w14:textFill>
        </w:rPr>
      </w:pPr>
      <w:r>
        <w:rPr>
          <w:rFonts w:hint="eastAsia" w:ascii="黑体" w:hAnsi="黑体" w:eastAsia="黑体" w:cs="黑体"/>
          <w:color w:val="000000" w:themeColor="text1"/>
          <w:spacing w:val="0"/>
          <w:sz w:val="32"/>
          <w:szCs w:val="32"/>
          <w:highlight w:val="none"/>
          <w:lang w:eastAsia="zh-CN"/>
          <w14:textFill>
            <w14:solidFill>
              <w14:schemeClr w14:val="tx1"/>
            </w14:solidFill>
          </w14:textFill>
        </w:rPr>
        <w:t>十</w:t>
      </w:r>
      <w:r>
        <w:rPr>
          <w:rFonts w:hint="eastAsia" w:ascii="黑体" w:hAnsi="黑体" w:eastAsia="黑体" w:cs="黑体"/>
          <w:color w:val="000000" w:themeColor="text1"/>
          <w:spacing w:val="0"/>
          <w:sz w:val="32"/>
          <w:szCs w:val="32"/>
          <w:highlight w:val="none"/>
          <w:lang w:eastAsia="zh-CN"/>
          <w14:textFill>
            <w14:solidFill>
              <w14:schemeClr w14:val="tx1"/>
            </w14:solidFill>
          </w14:textFill>
        </w:rPr>
        <w:t>、</w:t>
      </w:r>
      <w:r>
        <w:rPr>
          <w:rFonts w:hint="eastAsia" w:ascii="黑体" w:hAnsi="黑体" w:eastAsia="黑体" w:cs="黑体"/>
          <w:color w:val="000000" w:themeColor="text1"/>
          <w:spacing w:val="0"/>
          <w:sz w:val="32"/>
          <w:szCs w:val="32"/>
          <w:highlight w:val="none"/>
          <w14:textFill>
            <w14:solidFill>
              <w14:schemeClr w14:val="tx1"/>
            </w14:solidFill>
          </w14:textFill>
        </w:rPr>
        <w:t>加大</w:t>
      </w:r>
      <w:r>
        <w:rPr>
          <w:rFonts w:hint="eastAsia" w:ascii="黑体" w:hAnsi="黑体" w:eastAsia="黑体" w:cs="黑体"/>
          <w:color w:val="000000" w:themeColor="text1"/>
          <w:spacing w:val="0"/>
          <w:sz w:val="32"/>
          <w:szCs w:val="32"/>
          <w:highlight w:val="none"/>
          <w:lang w:eastAsia="zh-CN"/>
          <w14:textFill>
            <w14:solidFill>
              <w14:schemeClr w14:val="tx1"/>
            </w14:solidFill>
          </w14:textFill>
        </w:rPr>
        <w:t>新能源</w:t>
      </w:r>
      <w:r>
        <w:rPr>
          <w:rFonts w:hint="eastAsia" w:ascii="黑体" w:hAnsi="黑体" w:eastAsia="黑体" w:cs="黑体"/>
          <w:color w:val="000000" w:themeColor="text1"/>
          <w:spacing w:val="0"/>
          <w:sz w:val="32"/>
          <w:szCs w:val="32"/>
          <w:highlight w:val="none"/>
          <w14:textFill>
            <w14:solidFill>
              <w14:schemeClr w14:val="tx1"/>
            </w14:solidFill>
          </w14:textFill>
        </w:rPr>
        <w:t>人才引进力度</w:t>
      </w:r>
    </w:p>
    <w:p w14:paraId="138DE901">
      <w:pPr>
        <w:keepNext w:val="0"/>
        <w:keepLines w:val="0"/>
        <w:pageBreakBefore w:val="0"/>
        <w:widowControl/>
        <w:kinsoku/>
        <w:wordWrap/>
        <w:overflowPunct/>
        <w:topLinePunct w:val="0"/>
        <w:autoSpaceDE/>
        <w:autoSpaceDN/>
        <w:bidi w:val="0"/>
        <w:adjustRightInd/>
        <w:spacing w:line="600" w:lineRule="exact"/>
        <w:ind w:leftChars="0" w:firstLine="640" w:firstLineChars="200"/>
        <w:textAlignment w:val="auto"/>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pPr>
      <w:r>
        <w:rPr>
          <w:rFonts w:hint="eastAsia" w:ascii="楷体_GB2312" w:hAnsi="Times New Roman" w:eastAsia="楷体_GB2312" w:cs="Times New Roman"/>
          <w:color w:val="000000" w:themeColor="text1"/>
          <w:spacing w:val="0"/>
          <w:sz w:val="32"/>
          <w:szCs w:val="32"/>
          <w:highlight w:val="none"/>
          <w:lang w:eastAsia="zh-CN" w:bidi="ar"/>
          <w14:textFill>
            <w14:solidFill>
              <w14:schemeClr w14:val="tx1"/>
            </w14:solidFill>
          </w14:textFill>
        </w:rPr>
        <w:t>（十</w:t>
      </w:r>
      <w:r>
        <w:rPr>
          <w:rFonts w:hint="eastAsia" w:ascii="楷体_GB2312" w:hAnsi="Times New Roman" w:eastAsia="楷体_GB2312" w:cs="Times New Roman"/>
          <w:color w:val="000000" w:themeColor="text1"/>
          <w:spacing w:val="0"/>
          <w:sz w:val="32"/>
          <w:szCs w:val="32"/>
          <w:highlight w:val="none"/>
          <w:lang w:eastAsia="zh-CN" w:bidi="ar"/>
          <w14:textFill>
            <w14:solidFill>
              <w14:schemeClr w14:val="tx1"/>
            </w14:solidFill>
          </w14:textFill>
        </w:rPr>
        <w:t>三</w:t>
      </w:r>
      <w:r>
        <w:rPr>
          <w:rFonts w:hint="eastAsia" w:ascii="楷体_GB2312" w:hAnsi="Times New Roman" w:eastAsia="楷体_GB2312" w:cs="Times New Roman"/>
          <w:color w:val="000000" w:themeColor="text1"/>
          <w:spacing w:val="0"/>
          <w:sz w:val="32"/>
          <w:szCs w:val="32"/>
          <w:highlight w:val="none"/>
          <w:lang w:eastAsia="zh-CN" w:bidi="ar"/>
          <w14:textFill>
            <w14:solidFill>
              <w14:schemeClr w14:val="tx1"/>
            </w14:solidFill>
          </w14:textFill>
        </w:rPr>
        <w:t>）加大新能源人才引进力度。</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根据</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我市有关紧缺人才优待政策</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，对</w:t>
      </w:r>
      <w:r>
        <w:rPr>
          <w:rFonts w:hint="eastAsia" w:ascii="Times New Roman" w:hAnsi="Times New Roman" w:eastAsia="仿宋_GB2312"/>
          <w:bCs/>
          <w:color w:val="000000" w:themeColor="text1"/>
          <w:sz w:val="32"/>
          <w:szCs w:val="32"/>
          <w:highlight w:val="none"/>
          <w:shd w:val="clear" w:color="auto" w:fill="FFFFFF"/>
          <w:lang w:val="en-US" w:eastAsia="zh-CN"/>
          <w14:textFill>
            <w14:solidFill>
              <w14:schemeClr w14:val="tx1"/>
            </w14:solidFill>
          </w14:textFill>
        </w:rPr>
        <w:t>新能源</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相关人才在人才引进、住房保障等方面给予政策保障，吸引</w:t>
      </w:r>
      <w:r>
        <w:rPr>
          <w:rFonts w:hint="eastAsia" w:ascii="Times New Roman" w:hAnsi="Times New Roman" w:eastAsia="仿宋_GB2312"/>
          <w:bCs/>
          <w:color w:val="000000" w:themeColor="text1"/>
          <w:sz w:val="32"/>
          <w:szCs w:val="32"/>
          <w:highlight w:val="none"/>
          <w:shd w:val="clear" w:color="auto" w:fill="FFFFFF"/>
          <w:lang w:val="en-US" w:eastAsia="zh-CN"/>
          <w14:textFill>
            <w14:solidFill>
              <w14:schemeClr w14:val="tx1"/>
            </w14:solidFill>
          </w14:textFill>
        </w:rPr>
        <w:t>新能源</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产业领军人才、相关技术人才来</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园区</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创新创业。</w:t>
      </w:r>
    </w:p>
    <w:p w14:paraId="306E8F52">
      <w:pPr>
        <w:keepNext w:val="0"/>
        <w:keepLines w:val="0"/>
        <w:pageBreakBefore w:val="0"/>
        <w:widowControl/>
        <w:kinsoku/>
        <w:wordWrap/>
        <w:overflowPunct/>
        <w:topLinePunct w:val="0"/>
        <w:autoSpaceDE/>
        <w:autoSpaceDN/>
        <w:bidi w:val="0"/>
        <w:adjustRightInd/>
        <w:spacing w:line="600" w:lineRule="exact"/>
        <w:ind w:leftChars="0" w:firstLine="640" w:firstLineChars="200"/>
        <w:textAlignment w:val="auto"/>
        <w:rPr>
          <w:rFonts w:hint="default" w:ascii="Times New Roman" w:hAnsi="Times New Roman" w:eastAsia="仿宋_GB2312" w:cs="Times New Roman"/>
          <w:bCs/>
          <w:i w:val="0"/>
          <w:iCs w:val="0"/>
          <w:caps w:val="0"/>
          <w:color w:val="000000" w:themeColor="text1"/>
          <w:spacing w:val="0"/>
          <w:kern w:val="2"/>
          <w:sz w:val="32"/>
          <w:szCs w:val="32"/>
          <w:highlight w:val="none"/>
          <w:shd w:val="clear" w:color="auto" w:fill="FFFFFF"/>
          <w:lang w:val="en-US" w:eastAsia="zh-CN" w:bidi="ar-SA"/>
          <w14:textFill>
            <w14:solidFill>
              <w14:schemeClr w14:val="tx1"/>
            </w14:solidFill>
          </w14:textFill>
        </w:rPr>
      </w:pPr>
      <w:r>
        <w:rPr>
          <w:rFonts w:hint="eastAsia" w:ascii="Times New Roman" w:hAnsi="Times New Roman" w:eastAsia="仿宋_GB2312" w:cs="Times New Roman"/>
          <w:bCs/>
          <w:i w:val="0"/>
          <w:iCs w:val="0"/>
          <w:caps w:val="0"/>
          <w:color w:val="000000" w:themeColor="text1"/>
          <w:spacing w:val="0"/>
          <w:kern w:val="2"/>
          <w:sz w:val="32"/>
          <w:szCs w:val="32"/>
          <w:highlight w:val="none"/>
          <w:shd w:val="clear" w:color="auto" w:fill="FFFFFF"/>
          <w:lang w:val="en-US" w:eastAsia="zh-CN" w:bidi="ar-SA"/>
          <w14:textFill>
            <w14:solidFill>
              <w14:schemeClr w14:val="tx1"/>
            </w14:solidFill>
          </w14:textFill>
        </w:rPr>
        <w:t>本措施所称</w:t>
      </w:r>
      <w:r>
        <w:rPr>
          <w:rFonts w:hint="eastAsia" w:ascii="Times New Roman" w:hAnsi="Times New Roman" w:eastAsia="仿宋_GB2312"/>
          <w:bCs/>
          <w:color w:val="000000" w:themeColor="text1"/>
          <w:sz w:val="32"/>
          <w:szCs w:val="32"/>
          <w:highlight w:val="none"/>
          <w:shd w:val="clear" w:color="auto" w:fill="FFFFFF"/>
          <w:lang w:val="en-US" w:eastAsia="zh-CN"/>
          <w14:textFill>
            <w14:solidFill>
              <w14:schemeClr w14:val="tx1"/>
            </w14:solidFill>
          </w14:textFill>
        </w:rPr>
        <w:t>新能源</w:t>
      </w:r>
      <w:r>
        <w:rPr>
          <w:rFonts w:hint="eastAsia" w:ascii="Times New Roman" w:hAnsi="Times New Roman" w:eastAsia="仿宋_GB2312" w:cs="Times New Roman"/>
          <w:bCs/>
          <w:i w:val="0"/>
          <w:iCs w:val="0"/>
          <w:caps w:val="0"/>
          <w:color w:val="000000" w:themeColor="text1"/>
          <w:spacing w:val="0"/>
          <w:kern w:val="2"/>
          <w:sz w:val="32"/>
          <w:szCs w:val="32"/>
          <w:highlight w:val="none"/>
          <w:shd w:val="clear" w:color="auto" w:fill="FFFFFF"/>
          <w:lang w:val="en-US" w:eastAsia="zh-CN" w:bidi="ar-SA"/>
          <w14:textFill>
            <w14:solidFill>
              <w14:schemeClr w14:val="tx1"/>
            </w14:solidFill>
          </w14:textFill>
        </w:rPr>
        <w:t>相关企业及科研机构，是指纳入园区管委会管理服务的对象，具有独立法人资格，执行独立核算和信用管理规定的</w:t>
      </w:r>
      <w:r>
        <w:rPr>
          <w:rFonts w:hint="eastAsia" w:ascii="Times New Roman" w:hAnsi="Times New Roman" w:eastAsia="仿宋_GB2312"/>
          <w:bCs/>
          <w:color w:val="000000" w:themeColor="text1"/>
          <w:sz w:val="32"/>
          <w:szCs w:val="32"/>
          <w:highlight w:val="none"/>
          <w:shd w:val="clear" w:color="auto" w:fill="FFFFFF"/>
          <w:lang w:val="en-US" w:eastAsia="zh-CN"/>
          <w14:textFill>
            <w14:solidFill>
              <w14:schemeClr w14:val="tx1"/>
            </w14:solidFill>
          </w14:textFill>
        </w:rPr>
        <w:t>新能源</w:t>
      </w:r>
      <w:r>
        <w:rPr>
          <w:rFonts w:hint="default" w:ascii="Times New Roman" w:hAnsi="Times New Roman" w:eastAsia="仿宋_GB2312" w:cs="Times New Roman"/>
          <w:bCs/>
          <w:i w:val="0"/>
          <w:iCs w:val="0"/>
          <w:caps w:val="0"/>
          <w:color w:val="000000" w:themeColor="text1"/>
          <w:spacing w:val="0"/>
          <w:kern w:val="2"/>
          <w:sz w:val="32"/>
          <w:szCs w:val="32"/>
          <w:highlight w:val="none"/>
          <w:shd w:val="clear" w:color="auto" w:fill="FFFFFF"/>
          <w:lang w:val="en-US" w:eastAsia="zh-CN" w:bidi="ar-SA"/>
          <w14:textFill>
            <w14:solidFill>
              <w14:schemeClr w14:val="tx1"/>
            </w14:solidFill>
          </w14:textFill>
        </w:rPr>
        <w:t>产业链条相关企业。</w:t>
      </w:r>
      <w:r>
        <w:rPr>
          <w:rFonts w:hint="eastAsia" w:ascii="Times New Roman" w:hAnsi="Times New Roman" w:eastAsia="仿宋_GB2312" w:cs="Times New Roman"/>
          <w:bCs/>
          <w:i w:val="0"/>
          <w:iCs w:val="0"/>
          <w:caps w:val="0"/>
          <w:color w:val="000000" w:themeColor="text1"/>
          <w:spacing w:val="0"/>
          <w:kern w:val="2"/>
          <w:sz w:val="32"/>
          <w:szCs w:val="32"/>
          <w:highlight w:val="none"/>
          <w:shd w:val="clear" w:color="auto" w:fill="FFFFFF"/>
          <w:lang w:val="en-US" w:eastAsia="zh-CN" w:bidi="ar-SA"/>
          <w14:textFill>
            <w14:solidFill>
              <w14:schemeClr w14:val="tx1"/>
            </w14:solidFill>
          </w14:textFill>
        </w:rPr>
        <w:t>上级另有政策的，从其政策。申请扶持政策</w:t>
      </w:r>
      <w:r>
        <w:rPr>
          <w:rFonts w:hint="eastAsia" w:ascii="Times New Roman" w:hAnsi="Times New Roman" w:eastAsia="仿宋_GB2312" w:cs="Times New Roman"/>
          <w:bCs/>
          <w:i w:val="0"/>
          <w:iCs w:val="0"/>
          <w:caps w:val="0"/>
          <w:color w:val="000000" w:themeColor="text1"/>
          <w:spacing w:val="0"/>
          <w:sz w:val="32"/>
          <w:szCs w:val="32"/>
          <w:highlight w:val="none"/>
          <w:shd w:val="clear" w:color="auto" w:fill="FFFFFF"/>
          <w:lang w:val="en-US" w:eastAsia="zh-CN"/>
          <w14:textFill>
            <w14:solidFill>
              <w14:schemeClr w14:val="tx1"/>
            </w14:solidFill>
          </w14:textFill>
        </w:rPr>
        <w:t>按“从优不重复、就高不就低”的原则予以支持，总的奖励金规模不超过</w:t>
      </w:r>
      <w:r>
        <w:rPr>
          <w:rFonts w:hint="eastAsia" w:ascii="Times New Roman" w:hAnsi="Times New Roman" w:eastAsia="仿宋_GB2312" w:cs="Times New Roman"/>
          <w:bCs/>
          <w:i w:val="0"/>
          <w:iCs w:val="0"/>
          <w:caps w:val="0"/>
          <w:color w:val="000000" w:themeColor="text1"/>
          <w:spacing w:val="0"/>
          <w:sz w:val="32"/>
          <w:szCs w:val="32"/>
          <w:highlight w:val="none"/>
          <w:shd w:val="clear" w:color="auto" w:fill="FFFFFF"/>
          <w:lang w:val="en-US" w:eastAsia="zh-CN"/>
          <w14:textFill>
            <w14:solidFill>
              <w14:schemeClr w14:val="tx1"/>
            </w14:solidFill>
          </w14:textFill>
        </w:rPr>
        <w:t>5</w:t>
      </w:r>
      <w:r>
        <w:rPr>
          <w:rFonts w:hint="eastAsia" w:ascii="Times New Roman" w:hAnsi="Times New Roman" w:eastAsia="仿宋_GB2312" w:cs="Times New Roman"/>
          <w:bCs/>
          <w:i w:val="0"/>
          <w:iCs w:val="0"/>
          <w:caps w:val="0"/>
          <w:color w:val="000000" w:themeColor="text1"/>
          <w:spacing w:val="0"/>
          <w:sz w:val="32"/>
          <w:szCs w:val="32"/>
          <w:highlight w:val="none"/>
          <w:shd w:val="clear" w:color="auto" w:fill="FFFFFF"/>
          <w:lang w:val="en-US" w:eastAsia="zh-CN"/>
          <w14:textFill>
            <w14:solidFill>
              <w14:schemeClr w14:val="tx1"/>
            </w14:solidFill>
          </w14:textFill>
        </w:rPr>
        <w:t>000万元，资金来源为上级有关政策资金和园区资金，同一生产主体或由同一实控人控制的企业奖励总额不超过</w:t>
      </w:r>
      <w:r>
        <w:rPr>
          <w:rFonts w:hint="eastAsia" w:ascii="Times New Roman" w:hAnsi="Times New Roman" w:eastAsia="仿宋_GB2312" w:cs="Times New Roman"/>
          <w:bCs/>
          <w:i w:val="0"/>
          <w:iCs w:val="0"/>
          <w:caps w:val="0"/>
          <w:color w:val="000000" w:themeColor="text1"/>
          <w:spacing w:val="0"/>
          <w:sz w:val="32"/>
          <w:szCs w:val="32"/>
          <w:highlight w:val="none"/>
          <w:shd w:val="clear" w:color="auto" w:fill="FFFFFF"/>
          <w:lang w:val="en-US" w:eastAsia="zh-CN"/>
          <w14:textFill>
            <w14:solidFill>
              <w14:schemeClr w14:val="tx1"/>
            </w14:solidFill>
          </w14:textFill>
        </w:rPr>
        <w:t>2</w:t>
      </w:r>
      <w:r>
        <w:rPr>
          <w:rFonts w:hint="eastAsia" w:ascii="Times New Roman" w:hAnsi="Times New Roman" w:eastAsia="仿宋_GB2312" w:cs="Times New Roman"/>
          <w:bCs/>
          <w:i w:val="0"/>
          <w:iCs w:val="0"/>
          <w:caps w:val="0"/>
          <w:color w:val="000000" w:themeColor="text1"/>
          <w:spacing w:val="0"/>
          <w:sz w:val="32"/>
          <w:szCs w:val="32"/>
          <w:highlight w:val="none"/>
          <w:shd w:val="clear" w:color="auto" w:fill="FFFFFF"/>
          <w:lang w:val="en-US" w:eastAsia="zh-CN"/>
          <w14:textFill>
            <w14:solidFill>
              <w14:schemeClr w14:val="tx1"/>
            </w14:solidFill>
          </w14:textFill>
        </w:rPr>
        <w:t>000万元。</w:t>
      </w:r>
    </w:p>
    <w:p w14:paraId="6A37CA51">
      <w:pPr>
        <w:widowControl/>
        <w:numPr>
          <w:ilvl w:val="-1"/>
          <w:numId w:val="0"/>
        </w:numPr>
        <w:spacing w:line="600" w:lineRule="exact"/>
        <w:ind w:firstLine="640" w:firstLineChars="200"/>
        <w:jc w:val="left"/>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pPr>
      <w:r>
        <w:rPr>
          <w:rFonts w:hint="default" w:ascii="Times New Roman" w:hAnsi="Times New Roman" w:eastAsia="仿宋_GB2312" w:cs="Times New Roman"/>
          <w:bCs/>
          <w:i w:val="0"/>
          <w:iCs w:val="0"/>
          <w:caps w:val="0"/>
          <w:color w:val="000000" w:themeColor="text1"/>
          <w:spacing w:val="0"/>
          <w:sz w:val="32"/>
          <w:szCs w:val="32"/>
          <w:highlight w:val="none"/>
          <w:shd w:val="clear" w:color="auto" w:fill="FFFFFF"/>
          <w:lang w:val="en-US" w:eastAsia="zh-CN"/>
          <w14:textFill>
            <w14:solidFill>
              <w14:schemeClr w14:val="tx1"/>
            </w14:solidFill>
          </w14:textFill>
        </w:rPr>
        <w:t>本</w:t>
      </w:r>
      <w:r>
        <w:rPr>
          <w:rFonts w:hint="eastAsia" w:ascii="Times New Roman" w:hAnsi="Times New Roman" w:eastAsia="仿宋_GB2312" w:cs="Times New Roman"/>
          <w:bCs/>
          <w:i w:val="0"/>
          <w:iCs w:val="0"/>
          <w:caps w:val="0"/>
          <w:color w:val="000000" w:themeColor="text1"/>
          <w:spacing w:val="0"/>
          <w:sz w:val="32"/>
          <w:szCs w:val="32"/>
          <w:highlight w:val="none"/>
          <w:shd w:val="clear" w:color="auto" w:fill="FFFFFF"/>
          <w:lang w:val="en-US" w:eastAsia="zh-CN"/>
          <w14:textFill>
            <w14:solidFill>
              <w14:schemeClr w14:val="tx1"/>
            </w14:solidFill>
          </w14:textFill>
        </w:rPr>
        <w:t>措施</w:t>
      </w:r>
      <w:r>
        <w:rPr>
          <w:rFonts w:hint="default" w:ascii="Times New Roman" w:hAnsi="Times New Roman" w:eastAsia="仿宋_GB2312" w:cs="Times New Roman"/>
          <w:bCs/>
          <w:i w:val="0"/>
          <w:iCs w:val="0"/>
          <w:caps w:val="0"/>
          <w:color w:val="000000" w:themeColor="text1"/>
          <w:spacing w:val="0"/>
          <w:sz w:val="32"/>
          <w:szCs w:val="32"/>
          <w:highlight w:val="none"/>
          <w:shd w:val="clear" w:color="auto" w:fill="FFFFFF"/>
          <w:lang w:val="en-US" w:eastAsia="zh-CN"/>
          <w14:textFill>
            <w14:solidFill>
              <w14:schemeClr w14:val="tx1"/>
            </w14:solidFill>
          </w14:textFill>
        </w:rPr>
        <w:t>由佛山（云浮）产业转移工业园</w:t>
      </w:r>
      <w:r>
        <w:rPr>
          <w:rFonts w:hint="eastAsia" w:ascii="Times New Roman" w:hAnsi="Times New Roman" w:eastAsia="仿宋_GB2312" w:cs="Times New Roman"/>
          <w:bCs/>
          <w:i w:val="0"/>
          <w:iCs w:val="0"/>
          <w:caps w:val="0"/>
          <w:color w:val="000000" w:themeColor="text1"/>
          <w:spacing w:val="0"/>
          <w:sz w:val="32"/>
          <w:szCs w:val="32"/>
          <w:highlight w:val="none"/>
          <w:shd w:val="clear" w:color="auto" w:fill="FFFFFF"/>
          <w:lang w:val="en-US" w:eastAsia="zh-CN"/>
          <w14:textFill>
            <w14:solidFill>
              <w14:schemeClr w14:val="tx1"/>
            </w14:solidFill>
          </w14:textFill>
        </w:rPr>
        <w:t>管理委员会</w:t>
      </w:r>
      <w:r>
        <w:rPr>
          <w:rFonts w:hint="default" w:ascii="Times New Roman" w:hAnsi="Times New Roman" w:eastAsia="仿宋_GB2312" w:cs="Times New Roman"/>
          <w:bCs/>
          <w:i w:val="0"/>
          <w:iCs w:val="0"/>
          <w:caps w:val="0"/>
          <w:color w:val="000000" w:themeColor="text1"/>
          <w:spacing w:val="0"/>
          <w:sz w:val="32"/>
          <w:szCs w:val="32"/>
          <w:highlight w:val="none"/>
          <w:shd w:val="clear" w:color="auto" w:fill="FFFFFF"/>
          <w:lang w:val="en-US" w:eastAsia="zh-CN"/>
          <w14:textFill>
            <w14:solidFill>
              <w14:schemeClr w14:val="tx1"/>
            </w14:solidFill>
          </w14:textFill>
        </w:rPr>
        <w:t>进行解释</w:t>
      </w:r>
      <w:r>
        <w:rPr>
          <w:rFonts w:hint="eastAsia" w:ascii="Times New Roman" w:hAnsi="Times New Roman" w:eastAsia="仿宋_GB2312" w:cs="Times New Roman"/>
          <w:bCs/>
          <w:i w:val="0"/>
          <w:iCs w:val="0"/>
          <w:caps w:val="0"/>
          <w:color w:val="000000" w:themeColor="text1"/>
          <w:spacing w:val="0"/>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bCs/>
          <w:color w:val="000000" w:themeColor="text1"/>
          <w:kern w:val="2"/>
          <w:sz w:val="32"/>
          <w:szCs w:val="32"/>
          <w:highlight w:val="none"/>
          <w:shd w:val="clear" w:color="auto" w:fill="FFFFFF"/>
          <w14:textFill>
            <w14:solidFill>
              <w14:schemeClr w14:val="tx1"/>
            </w14:solidFill>
          </w14:textFill>
        </w:rPr>
        <w:t>自印发之日起</w:t>
      </w:r>
      <w:r>
        <w:rPr>
          <w:rFonts w:hint="eastAsia" w:ascii="Times New Roman" w:hAnsi="Times New Roman" w:eastAsia="仿宋_GB2312"/>
          <w:bCs/>
          <w:color w:val="000000" w:themeColor="text1"/>
          <w:kern w:val="2"/>
          <w:sz w:val="32"/>
          <w:szCs w:val="32"/>
          <w:highlight w:val="none"/>
          <w:shd w:val="clear" w:color="auto" w:fill="FFFFFF"/>
          <w:lang w:eastAsia="zh-CN"/>
          <w14:textFill>
            <w14:solidFill>
              <w14:schemeClr w14:val="tx1"/>
            </w14:solidFill>
          </w14:textFill>
        </w:rPr>
        <w:t>施</w:t>
      </w:r>
      <w:r>
        <w:rPr>
          <w:rFonts w:hint="default" w:ascii="Times New Roman" w:hAnsi="Times New Roman" w:eastAsia="仿宋_GB2312"/>
          <w:bCs/>
          <w:color w:val="000000" w:themeColor="text1"/>
          <w:kern w:val="2"/>
          <w:sz w:val="32"/>
          <w:szCs w:val="32"/>
          <w:highlight w:val="none"/>
          <w:shd w:val="clear" w:color="auto" w:fill="FFFFFF"/>
          <w14:textFill>
            <w14:solidFill>
              <w14:schemeClr w14:val="tx1"/>
            </w14:solidFill>
          </w14:textFill>
        </w:rPr>
        <w:t>行，有效期</w:t>
      </w:r>
      <w:r>
        <w:rPr>
          <w:rFonts w:hint="eastAsia" w:ascii="Times New Roman" w:hAnsi="Times New Roman" w:eastAsia="仿宋_GB2312"/>
          <w:bCs/>
          <w:color w:val="000000" w:themeColor="text1"/>
          <w:kern w:val="2"/>
          <w:sz w:val="32"/>
          <w:szCs w:val="32"/>
          <w:highlight w:val="none"/>
          <w:shd w:val="clear" w:color="auto" w:fill="FFFFFF"/>
          <w:lang w:val="en-US" w:eastAsia="zh-CN"/>
          <w14:textFill>
            <w14:solidFill>
              <w14:schemeClr w14:val="tx1"/>
            </w14:solidFill>
          </w14:textFill>
        </w:rPr>
        <w:t>至2026年12月31日</w:t>
      </w:r>
      <w:r>
        <w:rPr>
          <w:rFonts w:hint="eastAsia" w:ascii="Times New Roman" w:hAnsi="Times New Roman" w:eastAsia="仿宋_GB2312"/>
          <w:bCs/>
          <w:color w:val="000000" w:themeColor="text1"/>
          <w:kern w:val="2"/>
          <w:sz w:val="32"/>
          <w:szCs w:val="32"/>
          <w:highlight w:val="none"/>
          <w:shd w:val="clear" w:color="auto" w:fill="FFFFFF"/>
          <w:lang w:eastAsia="zh-CN"/>
          <w14:textFill>
            <w14:solidFill>
              <w14:schemeClr w14:val="tx1"/>
            </w14:solidFill>
          </w14:textFill>
        </w:rPr>
        <w:t>。</w:t>
      </w:r>
    </w:p>
    <w:p w14:paraId="3ED6724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pPr>
    </w:p>
    <w:p w14:paraId="0674DC6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pPr>
    </w:p>
    <w:p w14:paraId="6FAED0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pPr>
      <w:bookmarkStart w:id="0" w:name="_GoBack"/>
      <w:bookmarkEnd w:id="0"/>
    </w:p>
    <w:p w14:paraId="5DBBFA6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pPr>
    </w:p>
    <w:p w14:paraId="569E0BA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0" w:firstLineChars="0"/>
        <w:jc w:val="both"/>
        <w:rPr>
          <w:rFonts w:hint="eastAsia" w:ascii="黑体" w:hAnsi="黑体" w:eastAsia="黑体" w:cs="黑体"/>
          <w:color w:val="000000" w:themeColor="text1"/>
          <w:kern w:val="2"/>
          <w:sz w:val="32"/>
          <w:szCs w:val="32"/>
          <w:highlight w:val="none"/>
          <w:vertAlign w:val="baseline"/>
          <w:lang w:val="en-US" w:eastAsia="zh-CN" w:bidi="ar"/>
          <w14:textFill>
            <w14:solidFill>
              <w14:schemeClr w14:val="tx1"/>
            </w14:solidFill>
          </w14:textFill>
        </w:rPr>
      </w:pPr>
      <w:r>
        <w:rPr>
          <w:rFonts w:hint="eastAsia" w:ascii="黑体" w:hAnsi="黑体" w:eastAsia="黑体" w:cs="黑体"/>
          <w:color w:val="000000" w:themeColor="text1"/>
          <w:kern w:val="2"/>
          <w:sz w:val="32"/>
          <w:szCs w:val="32"/>
          <w:highlight w:val="none"/>
          <w:vertAlign w:val="baseline"/>
          <w:lang w:val="en-US" w:eastAsia="zh-CN" w:bidi="ar"/>
          <w14:textFill>
            <w14:solidFill>
              <w14:schemeClr w14:val="tx1"/>
            </w14:solidFill>
          </w14:textFill>
        </w:rPr>
        <w:t>附件：</w:t>
      </w:r>
    </w:p>
    <w:p w14:paraId="7C4F96E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57" w:afterLines="50" w:afterAutospacing="0" w:line="560" w:lineRule="exact"/>
        <w:ind w:left="0" w:right="0" w:firstLine="0" w:firstLineChars="0"/>
        <w:jc w:val="center"/>
        <w:textAlignment w:val="auto"/>
        <w:rPr>
          <w:rFonts w:hint="eastAsia" w:ascii="方正小标宋简体" w:hAnsi="方正小标宋简体" w:eastAsia="方正小标宋简体" w:cs="方正小标宋简体"/>
          <w:color w:val="000000" w:themeColor="text1"/>
          <w:kern w:val="2"/>
          <w:sz w:val="32"/>
          <w:szCs w:val="32"/>
          <w:highlight w:val="none"/>
          <w:vertAlign w:val="baseline"/>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2"/>
          <w:szCs w:val="32"/>
          <w:highlight w:val="none"/>
          <w:vertAlign w:val="baseline"/>
          <w:lang w:val="en-US" w:eastAsia="zh-CN" w:bidi="ar"/>
          <w14:textFill>
            <w14:solidFill>
              <w14:schemeClr w14:val="tx1"/>
            </w14:solidFill>
          </w14:textFill>
        </w:rPr>
        <w:t>场景化车辆示范补贴表</w:t>
      </w:r>
    </w:p>
    <w:tbl>
      <w:tblPr>
        <w:tblStyle w:val="7"/>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391"/>
        <w:gridCol w:w="2886"/>
        <w:gridCol w:w="2311"/>
      </w:tblGrid>
      <w:tr w14:paraId="2A39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1292" w:type="dxa"/>
            <w:vAlign w:val="center"/>
          </w:tcPr>
          <w:p w14:paraId="12873B1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rPr>
                <w:rFonts w:hint="eastAsia" w:ascii="仿宋_GB2312" w:hAnsi="仿宋_GB2312" w:eastAsia="仿宋_GB2312" w:cs="仿宋_GB2312"/>
                <w:b/>
                <w:bCs/>
                <w:color w:val="000000" w:themeColor="text1"/>
                <w:kern w:val="2"/>
                <w:sz w:val="28"/>
                <w:szCs w:val="28"/>
                <w:highlight w:val="none"/>
                <w:vertAlign w:val="baseli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2"/>
                <w:sz w:val="28"/>
                <w:szCs w:val="28"/>
                <w:highlight w:val="none"/>
                <w:vertAlign w:val="baseline"/>
                <w:lang w:val="en-US" w:eastAsia="zh-CN" w:bidi="ar"/>
                <w14:textFill>
                  <w14:solidFill>
                    <w14:schemeClr w14:val="tx1"/>
                  </w14:solidFill>
                </w14:textFill>
              </w:rPr>
              <w:t>车辆</w:t>
            </w:r>
          </w:p>
          <w:p w14:paraId="7AA5B25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rPr>
                <w:rFonts w:hint="eastAsia" w:ascii="仿宋_GB2312" w:hAnsi="仿宋_GB2312" w:eastAsia="仿宋_GB2312" w:cs="仿宋_GB2312"/>
                <w:b/>
                <w:bCs/>
                <w:color w:val="000000" w:themeColor="text1"/>
                <w:kern w:val="2"/>
                <w:sz w:val="28"/>
                <w:szCs w:val="28"/>
                <w:highlight w:val="none"/>
                <w:vertAlign w:val="baseli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2"/>
                <w:sz w:val="28"/>
                <w:szCs w:val="28"/>
                <w:highlight w:val="none"/>
                <w:vertAlign w:val="baseline"/>
                <w:lang w:val="en-US" w:eastAsia="zh-CN" w:bidi="ar"/>
                <w14:textFill>
                  <w14:solidFill>
                    <w14:schemeClr w14:val="tx1"/>
                  </w14:solidFill>
                </w14:textFill>
              </w:rPr>
              <w:t>类型</w:t>
            </w:r>
          </w:p>
        </w:tc>
        <w:tc>
          <w:tcPr>
            <w:tcW w:w="2391" w:type="dxa"/>
            <w:vAlign w:val="center"/>
          </w:tcPr>
          <w:p w14:paraId="2E8FC90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rightChars="0"/>
              <w:jc w:val="center"/>
              <w:rPr>
                <w:rFonts w:hint="eastAsia" w:ascii="仿宋_GB2312" w:hAnsi="仿宋_GB2312" w:eastAsia="仿宋_GB2312" w:cs="仿宋_GB2312"/>
                <w:b/>
                <w:bCs/>
                <w:color w:val="000000" w:themeColor="text1"/>
                <w:kern w:val="2"/>
                <w:sz w:val="28"/>
                <w:szCs w:val="28"/>
                <w:highlight w:val="none"/>
                <w:vertAlign w:val="baseli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2"/>
                <w:sz w:val="28"/>
                <w:szCs w:val="28"/>
                <w:highlight w:val="none"/>
                <w:vertAlign w:val="baseline"/>
                <w:lang w:val="en-US" w:eastAsia="zh-CN" w:bidi="ar"/>
                <w14:textFill>
                  <w14:solidFill>
                    <w14:schemeClr w14:val="tx1"/>
                  </w14:solidFill>
                </w14:textFill>
              </w:rPr>
              <w:t>轻型氢燃料电池车辆（总质量小于4.5吨）</w:t>
            </w:r>
          </w:p>
        </w:tc>
        <w:tc>
          <w:tcPr>
            <w:tcW w:w="2886" w:type="dxa"/>
            <w:vAlign w:val="center"/>
          </w:tcPr>
          <w:p w14:paraId="7C960C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rightChars="0"/>
              <w:jc w:val="center"/>
              <w:rPr>
                <w:rFonts w:hint="eastAsia" w:ascii="仿宋_GB2312" w:hAnsi="仿宋_GB2312" w:eastAsia="仿宋_GB2312" w:cs="仿宋_GB2312"/>
                <w:b/>
                <w:bCs/>
                <w:color w:val="000000" w:themeColor="text1"/>
                <w:kern w:val="2"/>
                <w:sz w:val="28"/>
                <w:szCs w:val="28"/>
                <w:highlight w:val="none"/>
                <w:vertAlign w:val="baseli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2"/>
                <w:sz w:val="28"/>
                <w:szCs w:val="28"/>
                <w:highlight w:val="none"/>
                <w:vertAlign w:val="baseline"/>
                <w:lang w:val="en-US" w:eastAsia="zh-CN" w:bidi="ar"/>
                <w14:textFill>
                  <w14:solidFill>
                    <w14:schemeClr w14:val="tx1"/>
                  </w14:solidFill>
                </w14:textFill>
              </w:rPr>
              <w:t>中型氢燃料电池车辆（总质量4.5吨及以上，小于12吨）</w:t>
            </w:r>
          </w:p>
        </w:tc>
        <w:tc>
          <w:tcPr>
            <w:tcW w:w="2311" w:type="dxa"/>
            <w:vAlign w:val="center"/>
          </w:tcPr>
          <w:p w14:paraId="747139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rightChars="0"/>
              <w:jc w:val="center"/>
              <w:rPr>
                <w:rFonts w:hint="eastAsia" w:ascii="仿宋_GB2312" w:hAnsi="仿宋_GB2312" w:eastAsia="仿宋_GB2312" w:cs="仿宋_GB2312"/>
                <w:b/>
                <w:bCs/>
                <w:color w:val="000000" w:themeColor="text1"/>
                <w:kern w:val="2"/>
                <w:sz w:val="28"/>
                <w:szCs w:val="28"/>
                <w:highlight w:val="none"/>
                <w:vertAlign w:val="baseli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2"/>
                <w:sz w:val="28"/>
                <w:szCs w:val="28"/>
                <w:highlight w:val="none"/>
                <w:vertAlign w:val="baseline"/>
                <w:lang w:val="en-US" w:eastAsia="zh-CN" w:bidi="ar"/>
                <w14:textFill>
                  <w14:solidFill>
                    <w14:schemeClr w14:val="tx1"/>
                  </w14:solidFill>
                </w14:textFill>
              </w:rPr>
              <w:t>重型氢燃料电池车辆（总质量12吨及以上）</w:t>
            </w:r>
          </w:p>
        </w:tc>
      </w:tr>
      <w:tr w14:paraId="1172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292" w:type="dxa"/>
            <w:vAlign w:val="center"/>
          </w:tcPr>
          <w:p w14:paraId="4C9220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t>补贴</w:t>
            </w:r>
          </w:p>
          <w:p w14:paraId="73D553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t>金额</w:t>
            </w:r>
          </w:p>
        </w:tc>
        <w:tc>
          <w:tcPr>
            <w:tcW w:w="2391" w:type="dxa"/>
            <w:vAlign w:val="center"/>
          </w:tcPr>
          <w:p w14:paraId="0EBD00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rightChars="0"/>
              <w:jc w:val="cente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t>1元/公里</w:t>
            </w:r>
          </w:p>
        </w:tc>
        <w:tc>
          <w:tcPr>
            <w:tcW w:w="2886" w:type="dxa"/>
            <w:vAlign w:val="center"/>
          </w:tcPr>
          <w:p w14:paraId="02F037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rightChars="0"/>
              <w:jc w:val="cente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t>2元/公里</w:t>
            </w:r>
          </w:p>
        </w:tc>
        <w:tc>
          <w:tcPr>
            <w:tcW w:w="2311" w:type="dxa"/>
            <w:vAlign w:val="center"/>
          </w:tcPr>
          <w:p w14:paraId="022595B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rightChars="0"/>
              <w:jc w:val="cente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t>5元/公里</w:t>
            </w:r>
          </w:p>
        </w:tc>
      </w:tr>
      <w:tr w14:paraId="5FFE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292" w:type="dxa"/>
            <w:vAlign w:val="center"/>
          </w:tcPr>
          <w:p w14:paraId="140D7E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t>最高补贴金额</w:t>
            </w:r>
          </w:p>
        </w:tc>
        <w:tc>
          <w:tcPr>
            <w:tcW w:w="2391" w:type="dxa"/>
            <w:vAlign w:val="center"/>
          </w:tcPr>
          <w:p w14:paraId="5F9A1E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rightChars="0"/>
              <w:jc w:val="cente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t>2万元</w:t>
            </w:r>
          </w:p>
        </w:tc>
        <w:tc>
          <w:tcPr>
            <w:tcW w:w="2886" w:type="dxa"/>
            <w:vAlign w:val="center"/>
          </w:tcPr>
          <w:p w14:paraId="1753F6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rightChars="0"/>
              <w:jc w:val="cente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t>4万元</w:t>
            </w:r>
          </w:p>
        </w:tc>
        <w:tc>
          <w:tcPr>
            <w:tcW w:w="2311" w:type="dxa"/>
            <w:vAlign w:val="center"/>
          </w:tcPr>
          <w:p w14:paraId="02561EF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rightChars="0"/>
              <w:jc w:val="cente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t>10万元</w:t>
            </w:r>
          </w:p>
        </w:tc>
      </w:tr>
    </w:tbl>
    <w:p w14:paraId="0C56BD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0" w:firstLineChars="0"/>
        <w:jc w:val="both"/>
        <w:rPr>
          <w:rFonts w:hint="eastAsia" w:ascii="仿宋_GB2312" w:hAnsi="仿宋_GB2312" w:eastAsia="仿宋_GB2312" w:cs="仿宋_GB2312"/>
          <w:color w:val="000000" w:themeColor="text1"/>
          <w:kern w:val="2"/>
          <w:sz w:val="28"/>
          <w:szCs w:val="28"/>
          <w:highlight w:val="none"/>
          <w:vertAlign w:val="baseline"/>
          <w:lang w:val="en-US" w:eastAsia="zh-CN" w:bidi="ar"/>
          <w14:textFill>
            <w14:solidFill>
              <w14:schemeClr w14:val="tx1"/>
            </w14:solidFill>
          </w14:textFill>
        </w:rPr>
      </w:pPr>
    </w:p>
    <w:p w14:paraId="091CAD5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firstLine="0" w:firstLineChars="0"/>
        <w:jc w:val="both"/>
        <w:rPr>
          <w:rFonts w:hint="eastAsia" w:ascii="仿宋_GB2312" w:hAnsi="仿宋_GB2312" w:eastAsia="仿宋_GB2312" w:cs="仿宋_GB2312"/>
          <w:color w:val="000000" w:themeColor="text1"/>
          <w:kern w:val="2"/>
          <w:sz w:val="32"/>
          <w:szCs w:val="32"/>
          <w:highlight w:val="none"/>
          <w:vertAlign w:val="baseline"/>
          <w:lang w:val="en-US" w:eastAsia="zh-CN" w:bidi="ar"/>
          <w14:textFill>
            <w14:solidFill>
              <w14:schemeClr w14:val="tx1"/>
            </w14:solidFill>
          </w14:textFill>
        </w:rPr>
      </w:pPr>
    </w:p>
    <w:sectPr>
      <w:footerReference r:id="rId3" w:type="default"/>
      <w:pgSz w:w="11906" w:h="16838"/>
      <w:pgMar w:top="2098" w:right="1474" w:bottom="1984" w:left="1587" w:header="1247"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060F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-196215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0024E">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45pt;height:144pt;width:144pt;mso-position-horizontal:outside;mso-position-horizontal-relative:margin;mso-wrap-style:none;z-index:251659264;mso-width-relative:page;mso-height-relative:page;" filled="f" stroked="f" coordsize="21600,21600" o:gfxdata="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7SOEP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32B0024E">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2AF57"/>
    <w:multiLevelType w:val="singleLevel"/>
    <w:tmpl w:val="34F2AF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124E7"/>
    <w:rsid w:val="00A92B2F"/>
    <w:rsid w:val="00AB35C0"/>
    <w:rsid w:val="010F7FF3"/>
    <w:rsid w:val="01141165"/>
    <w:rsid w:val="03C52BEB"/>
    <w:rsid w:val="048B5043"/>
    <w:rsid w:val="0534627A"/>
    <w:rsid w:val="062E2CC9"/>
    <w:rsid w:val="06A42F8B"/>
    <w:rsid w:val="073E6F3C"/>
    <w:rsid w:val="07727480"/>
    <w:rsid w:val="0A312D88"/>
    <w:rsid w:val="0AAA48E8"/>
    <w:rsid w:val="0B100BEF"/>
    <w:rsid w:val="0B2947C8"/>
    <w:rsid w:val="0C104C1F"/>
    <w:rsid w:val="0CF52A34"/>
    <w:rsid w:val="0D18022F"/>
    <w:rsid w:val="0D5F7C0C"/>
    <w:rsid w:val="0E1E1875"/>
    <w:rsid w:val="0E6179B4"/>
    <w:rsid w:val="0F56503F"/>
    <w:rsid w:val="100920B1"/>
    <w:rsid w:val="10FB40F0"/>
    <w:rsid w:val="118F39F0"/>
    <w:rsid w:val="12107727"/>
    <w:rsid w:val="122356AC"/>
    <w:rsid w:val="122D46DF"/>
    <w:rsid w:val="123A44BF"/>
    <w:rsid w:val="12850115"/>
    <w:rsid w:val="12A52554"/>
    <w:rsid w:val="12CA3D79"/>
    <w:rsid w:val="13D34EB0"/>
    <w:rsid w:val="14292D22"/>
    <w:rsid w:val="14861F22"/>
    <w:rsid w:val="14AD3BD1"/>
    <w:rsid w:val="155E5FDC"/>
    <w:rsid w:val="157224A6"/>
    <w:rsid w:val="159F14ED"/>
    <w:rsid w:val="15DD0268"/>
    <w:rsid w:val="1635775C"/>
    <w:rsid w:val="166E7112"/>
    <w:rsid w:val="17896B14"/>
    <w:rsid w:val="18391C9E"/>
    <w:rsid w:val="19D35C0A"/>
    <w:rsid w:val="1A2C70C8"/>
    <w:rsid w:val="1A450189"/>
    <w:rsid w:val="1A5258E0"/>
    <w:rsid w:val="1A6525DA"/>
    <w:rsid w:val="1AD5150D"/>
    <w:rsid w:val="20762367"/>
    <w:rsid w:val="218170F1"/>
    <w:rsid w:val="21B94EFE"/>
    <w:rsid w:val="226B42C2"/>
    <w:rsid w:val="228850B7"/>
    <w:rsid w:val="236D2C2B"/>
    <w:rsid w:val="25357778"/>
    <w:rsid w:val="256A6A4D"/>
    <w:rsid w:val="260E7FC9"/>
    <w:rsid w:val="27263790"/>
    <w:rsid w:val="28B92C98"/>
    <w:rsid w:val="2AC60E73"/>
    <w:rsid w:val="2BA56CDA"/>
    <w:rsid w:val="2BD650E5"/>
    <w:rsid w:val="2C7E7C57"/>
    <w:rsid w:val="2DB53E24"/>
    <w:rsid w:val="2E905A1F"/>
    <w:rsid w:val="2ED32C69"/>
    <w:rsid w:val="2F3E36CD"/>
    <w:rsid w:val="2F4D4C2E"/>
    <w:rsid w:val="2F6649D2"/>
    <w:rsid w:val="308C7E28"/>
    <w:rsid w:val="31271F3F"/>
    <w:rsid w:val="32456B21"/>
    <w:rsid w:val="32BD464B"/>
    <w:rsid w:val="332D5853"/>
    <w:rsid w:val="33661445"/>
    <w:rsid w:val="34EC6639"/>
    <w:rsid w:val="35731BF7"/>
    <w:rsid w:val="35FC355C"/>
    <w:rsid w:val="36873BAC"/>
    <w:rsid w:val="36AE5E0B"/>
    <w:rsid w:val="372633C5"/>
    <w:rsid w:val="37FE1C4C"/>
    <w:rsid w:val="3847138C"/>
    <w:rsid w:val="38995E18"/>
    <w:rsid w:val="38DC3D18"/>
    <w:rsid w:val="3A19526E"/>
    <w:rsid w:val="3A1B67E7"/>
    <w:rsid w:val="3B31058A"/>
    <w:rsid w:val="3B873B57"/>
    <w:rsid w:val="3C4936B2"/>
    <w:rsid w:val="3C9E39FD"/>
    <w:rsid w:val="3D4F6AA6"/>
    <w:rsid w:val="3D5D5666"/>
    <w:rsid w:val="3D670293"/>
    <w:rsid w:val="3E1A3557"/>
    <w:rsid w:val="3E2D5039"/>
    <w:rsid w:val="3E4B54BF"/>
    <w:rsid w:val="3F00274D"/>
    <w:rsid w:val="40703903"/>
    <w:rsid w:val="40B01F51"/>
    <w:rsid w:val="41EE1EC9"/>
    <w:rsid w:val="42433E3C"/>
    <w:rsid w:val="44472BCC"/>
    <w:rsid w:val="45FB77CB"/>
    <w:rsid w:val="46C81B7C"/>
    <w:rsid w:val="47517050"/>
    <w:rsid w:val="47A345BE"/>
    <w:rsid w:val="48CB5B7A"/>
    <w:rsid w:val="490B5F77"/>
    <w:rsid w:val="4A3634C7"/>
    <w:rsid w:val="4A8316EB"/>
    <w:rsid w:val="4AE747C1"/>
    <w:rsid w:val="4B4A7644"/>
    <w:rsid w:val="4BB165DF"/>
    <w:rsid w:val="4C4579F1"/>
    <w:rsid w:val="4D13189E"/>
    <w:rsid w:val="4D1E6828"/>
    <w:rsid w:val="4EA03605"/>
    <w:rsid w:val="4EDF237F"/>
    <w:rsid w:val="4F1F7B1E"/>
    <w:rsid w:val="4F247D92"/>
    <w:rsid w:val="4F271630"/>
    <w:rsid w:val="4FA40ED3"/>
    <w:rsid w:val="4FB460B2"/>
    <w:rsid w:val="502E795C"/>
    <w:rsid w:val="505C17AE"/>
    <w:rsid w:val="50963F1A"/>
    <w:rsid w:val="50D87583"/>
    <w:rsid w:val="5160707C"/>
    <w:rsid w:val="53000B16"/>
    <w:rsid w:val="5314011E"/>
    <w:rsid w:val="53901E9A"/>
    <w:rsid w:val="54063F0A"/>
    <w:rsid w:val="54EF3D38"/>
    <w:rsid w:val="54F00716"/>
    <w:rsid w:val="559317CE"/>
    <w:rsid w:val="568E01E7"/>
    <w:rsid w:val="56B04601"/>
    <w:rsid w:val="59684D1F"/>
    <w:rsid w:val="596B0320"/>
    <w:rsid w:val="59B461B6"/>
    <w:rsid w:val="5A0C7DA1"/>
    <w:rsid w:val="5A33357F"/>
    <w:rsid w:val="5AF34ABD"/>
    <w:rsid w:val="5B743E4F"/>
    <w:rsid w:val="5C7A32FD"/>
    <w:rsid w:val="5CF80AB0"/>
    <w:rsid w:val="5CF816ED"/>
    <w:rsid w:val="5EA44A4C"/>
    <w:rsid w:val="5EB6652D"/>
    <w:rsid w:val="5F387464"/>
    <w:rsid w:val="5FDF3861"/>
    <w:rsid w:val="63B23767"/>
    <w:rsid w:val="6562740E"/>
    <w:rsid w:val="659F41BF"/>
    <w:rsid w:val="65BA4B55"/>
    <w:rsid w:val="66F10A4A"/>
    <w:rsid w:val="67762CFD"/>
    <w:rsid w:val="686314D3"/>
    <w:rsid w:val="6874469F"/>
    <w:rsid w:val="68D65889"/>
    <w:rsid w:val="68E72104"/>
    <w:rsid w:val="6A7B46F3"/>
    <w:rsid w:val="6AAD6A36"/>
    <w:rsid w:val="6B1B6095"/>
    <w:rsid w:val="6B596BBE"/>
    <w:rsid w:val="6BFF1513"/>
    <w:rsid w:val="6C2B4587"/>
    <w:rsid w:val="6C64581A"/>
    <w:rsid w:val="6CC8224D"/>
    <w:rsid w:val="6F451933"/>
    <w:rsid w:val="6FCC3E02"/>
    <w:rsid w:val="70A64653"/>
    <w:rsid w:val="7128436B"/>
    <w:rsid w:val="7130216F"/>
    <w:rsid w:val="71EA0570"/>
    <w:rsid w:val="740B06A5"/>
    <w:rsid w:val="7476433D"/>
    <w:rsid w:val="758D4034"/>
    <w:rsid w:val="75C17045"/>
    <w:rsid w:val="75CF69A6"/>
    <w:rsid w:val="75DC0B17"/>
    <w:rsid w:val="76516E0F"/>
    <w:rsid w:val="76C03F95"/>
    <w:rsid w:val="76F36118"/>
    <w:rsid w:val="7725204A"/>
    <w:rsid w:val="7783749C"/>
    <w:rsid w:val="78212811"/>
    <w:rsid w:val="794124E7"/>
    <w:rsid w:val="7B98586F"/>
    <w:rsid w:val="7C4A67DB"/>
    <w:rsid w:val="7D5B67C5"/>
    <w:rsid w:val="7D9B3066"/>
    <w:rsid w:val="7E312BDA"/>
    <w:rsid w:val="7EBF106A"/>
    <w:rsid w:val="7F3A0EEC"/>
    <w:rsid w:val="7FDA7E75"/>
    <w:rsid w:val="BFE49D20"/>
    <w:rsid w:val="F6A92813"/>
    <w:rsid w:val="FFF67C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unhideWhenUsed/>
    <w:qFormat/>
    <w:uiPriority w:val="39"/>
    <w:pPr>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TML Definition"/>
    <w:basedOn w:val="8"/>
    <w:qFormat/>
    <w:uiPriority w:val="0"/>
  </w:style>
  <w:style w:type="character" w:styleId="12">
    <w:name w:val="HTML Variable"/>
    <w:basedOn w:val="8"/>
    <w:qFormat/>
    <w:uiPriority w:val="0"/>
  </w:style>
  <w:style w:type="character" w:styleId="13">
    <w:name w:val="Hyperlink"/>
    <w:basedOn w:val="8"/>
    <w:qFormat/>
    <w:uiPriority w:val="0"/>
    <w:rPr>
      <w:color w:val="333333"/>
      <w:u w:val="none"/>
    </w:rPr>
  </w:style>
  <w:style w:type="character" w:styleId="14">
    <w:name w:val="HTML Code"/>
    <w:basedOn w:val="8"/>
    <w:qFormat/>
    <w:uiPriority w:val="0"/>
    <w:rPr>
      <w:rFonts w:ascii="Courier New" w:hAnsi="Courier New"/>
      <w:sz w:val="20"/>
    </w:rPr>
  </w:style>
  <w:style w:type="character" w:styleId="15">
    <w:name w:val="HTML Cite"/>
    <w:basedOn w:val="8"/>
    <w:qFormat/>
    <w:uiPriority w:val="0"/>
  </w:style>
  <w:style w:type="character" w:customStyle="1" w:styleId="16">
    <w:name w:val="txt"/>
    <w:basedOn w:val="8"/>
    <w:qFormat/>
    <w:uiPriority w:val="0"/>
    <w:rPr>
      <w:shd w:val="clear" w:fill="F5F5F5"/>
    </w:rPr>
  </w:style>
  <w:style w:type="character" w:customStyle="1" w:styleId="17">
    <w:name w:val="first-child"/>
    <w:basedOn w:val="8"/>
    <w:qFormat/>
    <w:uiPriority w:val="0"/>
  </w:style>
  <w:style w:type="character" w:customStyle="1" w:styleId="18">
    <w:name w:val="nth-child(2)"/>
    <w:basedOn w:val="8"/>
    <w:qFormat/>
    <w:uiPriority w:val="0"/>
  </w:style>
  <w:style w:type="character" w:customStyle="1" w:styleId="19">
    <w:name w:val="layui-this"/>
    <w:basedOn w:val="8"/>
    <w:qFormat/>
    <w:uiPriority w:val="0"/>
    <w:rPr>
      <w:bdr w:val="single" w:color="EEEEEE" w:sz="6" w:space="0"/>
      <w:shd w:val="clear" w:fill="FFFFFF"/>
    </w:rPr>
  </w:style>
  <w:style w:type="character" w:customStyle="1" w:styleId="20">
    <w:name w:val="nth-child(3)"/>
    <w:basedOn w:val="8"/>
    <w:qFormat/>
    <w:uiPriority w:val="0"/>
  </w:style>
  <w:style w:type="character" w:customStyle="1" w:styleId="21">
    <w:name w:val="nth-child(3)1"/>
    <w:basedOn w:val="8"/>
    <w:qFormat/>
    <w:uiPriority w:val="0"/>
  </w:style>
  <w:style w:type="character" w:customStyle="1" w:styleId="22">
    <w:name w:val="pic"/>
    <w:basedOn w:val="8"/>
    <w:qFormat/>
    <w:uiPriority w:val="0"/>
    <w:rPr>
      <w:shd w:val="clear" w:fill="EBEBEB"/>
    </w:rPr>
  </w:style>
  <w:style w:type="character" w:customStyle="1" w:styleId="23">
    <w:name w:val="nth-child(1)"/>
    <w:basedOn w:val="8"/>
    <w:qFormat/>
    <w:uiPriority w:val="0"/>
  </w:style>
  <w:style w:type="character" w:customStyle="1" w:styleId="24">
    <w:name w:val="nth-child(1)1"/>
    <w:basedOn w:val="8"/>
    <w:qFormat/>
    <w:uiPriority w:val="0"/>
  </w:style>
  <w:style w:type="character" w:customStyle="1" w:styleId="25">
    <w:name w:val="layui-laypage-curr"/>
    <w:basedOn w:val="8"/>
    <w:qFormat/>
    <w:uiPriority w:val="0"/>
  </w:style>
  <w:style w:type="character" w:customStyle="1" w:styleId="26">
    <w:name w:val="nth-child(2)1"/>
    <w:basedOn w:val="8"/>
    <w:qFormat/>
    <w:uiPriority w:val="0"/>
  </w:style>
  <w:style w:type="paragraph" w:customStyle="1" w:styleId="27">
    <w:name w:val="正文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3362</Words>
  <Characters>3568</Characters>
  <Lines>0</Lines>
  <Paragraphs>0</Paragraphs>
  <TotalTime>33</TotalTime>
  <ScaleCrop>false</ScaleCrop>
  <LinksUpToDate>false</LinksUpToDate>
  <CharactersWithSpaces>3578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2025-03-25T16:44:00Z</dcterms:created>
  <dc:creator>Juan</dc:creator>
  <cp:lastModifiedBy>Jun</cp:lastModifiedBy>
  <cp:lastPrinted>2025-06-16T09:02:00Z</cp:lastPrinted>
  <dcterms:modified xsi:type="dcterms:W3CDTF">2025-06-20T00:59:11Z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C790CC1C86E1BE8C17055468048D8104_43</vt:lpwstr>
  </property>
  <property fmtid="{D5CDD505-2E9C-101B-9397-08002B2CF9AE}" pid="4" name="KSOTemplateDocerSaveRecord">
    <vt:lpwstr>eyJoZGlkIjoiMTcyM2QxMmVkNmYwOGVmMDAwNDk3ZDUxN2E0NDdlNTYiLCJ1c2VySWQiOiIyNjY2NTk1ODEifQ==</vt:lpwstr>
  </property>
</Properties>
</file>